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26-355</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102</w:t>
      </w:r>
    </w:p>
    <w:p>
      <w:pPr>
        <w:spacing w:before="0" w:after="0" w:line="480"/>
        <w:ind w:left="120"/>
        <w:jc w:val="center"/>
      </w:pPr>
      <w:r>
        <w:rPr>
          <w:rFonts w:ascii="Times New Roman" w:hAnsi="Times New Roman"/>
          <w:b w:val="false"/>
          <w:i w:val="false"/>
          <w:color w:val="000000"/>
          <w:sz w:val="24"/>
        </w:rPr>
        <w:t>“Assessment Practices and Equalization”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421.17(2)“c” and 441.21(1)“h”</w:t>
      </w:r>
    </w:p>
    <w:p>
      <w:pPr>
        <w:spacing w:before="0" w:after="0" w:line="480"/>
        <w:ind w:left="120"/>
        <w:jc w:val="both"/>
      </w:pPr>
      <w:r>
        <w:rPr>
          <w:rFonts w:ascii="Times New Roman" w:hAnsi="Times New Roman"/>
          <w:b w:val="false"/>
          <w:i w:val="false"/>
          <w:color w:val="000000"/>
          <w:sz w:val="24"/>
        </w:rPr>
        <w:t>State or federal law(s) implemented by the rulemaking: Iowa Code sections 421.7 and 428.4 and chapter 441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November 18, 2026 </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Nick Behlke </w:t>
            </w:r>
            <w:r>
              <w:br/>
            </w:r>
            <w:r>
              <w:rPr>
                <w:rFonts w:ascii="Times New Roman" w:hAnsi="Times New Roman"/>
                <w:b w:val="false"/>
                <w:i w:val="false"/>
                <w:color w:val="000000"/>
                <w:sz w:val="14"/>
              </w:rPr>
              <w:t xml:space="preserve">Department of Revenue </w:t>
            </w:r>
            <w:r>
              <w:br/>
            </w:r>
            <w:r>
              <w:rPr>
                <w:rFonts w:ascii="Times New Roman" w:hAnsi="Times New Roman"/>
                <w:b w:val="false"/>
                <w:i w:val="false"/>
                <w:color w:val="000000"/>
                <w:sz w:val="14"/>
              </w:rPr>
              <w:t xml:space="preserve">Hoover State Office Building </w:t>
            </w:r>
            <w:r>
              <w:br/>
            </w:r>
            <w:r>
              <w:rPr>
                <w:rFonts w:ascii="Times New Roman" w:hAnsi="Times New Roman"/>
                <w:b w:val="false"/>
                <w:i w:val="false"/>
                <w:color w:val="000000"/>
                <w:sz w:val="14"/>
              </w:rPr>
              <w:t xml:space="preserve">P.O. Box 10457 </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 xml:space="preserve">Phone: 515.336.9025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a new Chapter 102. This chapter provides clarification on the assessment of real property in the State. It includes an overview of the different classes of property and how to identify and value them. It also describes the assessors’ roles in the equalization process. The Department proposes revisions to remove portions of the rules that the Department determined are obsolete or unnecessary or duplicative of statutory language as required by Executive Order 10. Further, the Department proposes revisions to the chapter to add clarity and better organization to aid the public’s understanding of the assessment of real property for taxation purposes in the State.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Local governments will benefit from a greater understanding of the assessment and equalization process. Property owners will benefit from consistent and accurate application of the law to their property.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is the value of having a clear understanding of how to properly identify and value real estate in order to ensure a consistent application of the law across the State, eliminate any confusion, and prevent an individual’s property from being improperly assessed.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assessment and valuation of property will ensure that the correct amount of property taxes are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assessment and valuation of property, which could lead to property being improperly assessed. There is no cost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This proposed rulemaking is not costly or intrusive.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assessment practices and equalization would lead to greater confusion about the requirements and could lead to property being improperly assessed. The rules are proposed to be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in this proposed rulemaking are imposed by statute, and the Department does not have the authority to make exceptions to them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102</w:t>
      </w:r>
    </w:p>
    <w:p>
      <w:pPr>
        <w:spacing w:before="0" w:after="0" w:line="480"/>
        <w:ind w:left="120"/>
        <w:jc w:val="center"/>
      </w:pPr>
      <w:r>
        <w:rPr>
          <w:rFonts w:ascii="Times New Roman" w:hAnsi="Times New Roman"/>
          <w:b w:val="false"/>
          <w:i w:val="false"/>
          <w:color w:val="000000"/>
          <w:sz w:val="21"/>
        </w:rPr>
        <w:t>ASSESSMENT PRACTICES AND EQUALIZATION</w:t>
      </w:r>
    </w:p>
    <w:p>
      <w:pPr>
        <w:spacing w:before="0" w:after="0" w:line="480"/>
        <w:ind w:left="120"/>
        <w:jc w:val="both"/>
      </w:pPr>
      <w:r>
        <w:rPr>
          <w:rFonts w:ascii="Times New Roman" w:hAnsi="Times New Roman"/>
          <w:b/>
          <w:i w:val="false"/>
          <w:color w:val="000000"/>
          <w:sz w:val="24"/>
        </w:rPr>
        <w:t>701—102.1</w:t>
      </w:r>
      <w:r>
        <w:rPr>
          <w:rFonts w:ascii="Times New Roman" w:hAnsi="Times New Roman"/>
          <w:b/>
          <w:i w:val="false"/>
          <w:color w:val="000000"/>
          <w:sz w:val="24"/>
        </w:rPr>
        <w:t xml:space="preserve">(405,427A,428,441,499B) </w:t>
      </w:r>
      <w:r>
        <w:rPr>
          <w:rFonts w:ascii="Times New Roman" w:hAnsi="Times New Roman"/>
          <w:b/>
          <w:i w:val="false"/>
          <w:color w:val="000000"/>
          <w:sz w:val="24"/>
        </w:rPr>
        <w:t xml:space="preserve">Classification of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color w:val="000000"/>
          <w:sz w:val="24"/>
        </w:rPr>
        <w:t xml:space="preserve">Responsibility of assessors. </w:t>
      </w:r>
      <w:r>
        <w:rPr>
          <w:rFonts w:ascii="Times New Roman" w:hAnsi="Times New Roman"/>
          <w:b w:val="false"/>
          <w:i w:val="false"/>
          <w:color w:val="000000"/>
          <w:sz w:val="24"/>
        </w:rPr>
        <w:t xml:space="preserve">All real estate subject to assessment by city and county assessors shall be classified as provided in this rule. It shall be the responsibility of city and county assessors to determine the proper classification of real estate. There can be only one classification per property under this rule, except as provided for in paragraph </w:t>
      </w:r>
      <w:hyperlink r:id="rId6">
        <w:r>
          <w:rPr>
            <w:rStyle w:val="Hyperlink"/>
            <w:rFonts w:ascii="Times New Roman" w:hAnsi="Times New Roman"/>
            <w:b w:val="false"/>
            <w:i w:val="false"/>
            <w:color w:val="000000"/>
            <w:sz w:val="24"/>
          </w:rPr>
          <w:t>102.1(4)</w:t>
        </w:r>
      </w:hyperlink>
      <w:r>
        <w:rPr>
          <w:rFonts w:ascii="Times New Roman" w:hAnsi="Times New Roman"/>
          <w:b w:val="false"/>
          <w:i/>
          <w:color w:val="000000"/>
          <w:sz w:val="24"/>
        </w:rPr>
        <w:t>“d.”</w:t>
      </w:r>
      <w:r>
        <w:rPr>
          <w:rFonts w:ascii="Times New Roman" w:hAnsi="Times New Roman"/>
          <w:b w:val="false"/>
          <w:i w:val="false"/>
          <w:color w:val="000000"/>
          <w:sz w:val="24"/>
        </w:rPr>
        <w:t xml:space="preserve"> An assessor shall not assign one classification to the land and a different classification to the building or separate classifications to the land or separate classifications to the building. A building or structure on leased land is considered a separate property and may be classified differently than the land upon which it is located. The determination shall be based upon the best judgment of the assessor following the guidelines set forth in this rule and the status of the real estate as of January 1 of the year in which the assessment is made. The assessor shall classify property according to its present use and not according to its highest and best use. Information about an exception to the general rule that property is to be classified according to its use is found in subrule </w:t>
      </w:r>
      <w:hyperlink r:id="rId7">
        <w:r>
          <w:rPr>
            <w:rStyle w:val="Hyperlink"/>
            <w:rFonts w:ascii="Times New Roman" w:hAnsi="Times New Roman"/>
            <w:b w:val="false"/>
            <w:i w:val="false"/>
            <w:color w:val="000000"/>
            <w:sz w:val="24"/>
          </w:rPr>
          <w:t>102.1(8)</w:t>
        </w:r>
      </w:hyperlink>
      <w:r>
        <w:rPr>
          <w:rFonts w:ascii="Times New Roman" w:hAnsi="Times New Roman"/>
          <w:b w:val="false"/>
          <w:i w:val="false"/>
          <w:color w:val="000000"/>
          <w:sz w:val="24"/>
        </w:rPr>
        <w:t xml:space="preserve">. The classification shall be utilized on the abstract of assessment submitted to the department pursuant to Iowa Code section </w:t>
      </w:r>
      <w:hyperlink r:id="rId8">
        <w:r>
          <w:rPr>
            <w:rStyle w:val="Hyperlink"/>
            <w:rFonts w:ascii="Times New Roman" w:hAnsi="Times New Roman"/>
            <w:b w:val="false"/>
            <w:i w:val="false"/>
            <w:color w:val="000000"/>
            <w:sz w:val="24"/>
          </w:rPr>
          <w:t>441.45</w:t>
        </w:r>
      </w:hyperlink>
      <w:r>
        <w:rPr>
          <w:rFonts w:ascii="Times New Roman" w:hAnsi="Times New Roman"/>
          <w:b w:val="false"/>
          <w:i w:val="false"/>
          <w:color w:val="000000"/>
          <w:sz w:val="24"/>
        </w:rPr>
        <w:t xml:space="preserve">. More information about the abstract of assessment is found in rule </w:t>
      </w:r>
      <w:hyperlink r:id="rId9">
        <w:r>
          <w:rPr>
            <w:rStyle w:val="Hyperlink"/>
            <w:rFonts w:ascii="Times New Roman" w:hAnsi="Times New Roman"/>
            <w:b w:val="false"/>
            <w:i w:val="false"/>
            <w:color w:val="000000"/>
            <w:sz w:val="24"/>
          </w:rPr>
          <w:t>701—102.7</w:t>
        </w:r>
      </w:hyperlink>
      <w:r>
        <w:rPr>
          <w:rFonts w:ascii="Times New Roman" w:hAnsi="Times New Roman"/>
          <w:b w:val="false"/>
          <w:i w:val="false"/>
          <w:color w:val="000000"/>
          <w:sz w:val="24"/>
        </w:rPr>
        <w:t>(428,441).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color w:val="000000"/>
          <w:sz w:val="24"/>
        </w:rPr>
        <w:t xml:space="preserve">Responsibility of boards of review, county auditors, and county treasurers. </w:t>
      </w:r>
      <w:r>
        <w:rPr>
          <w:rFonts w:ascii="Times New Roman" w:hAnsi="Times New Roman"/>
          <w:b w:val="false"/>
          <w:i w:val="false"/>
          <w:color w:val="000000"/>
          <w:sz w:val="24"/>
        </w:rPr>
        <w:t>Whenever local boards of review, county auditors, and county treasurers exercise assessment functions allowed or required by law, they shall classify property as provided in this rule and adhere to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w:t>
      </w:r>
      <w:r>
        <w:rPr>
          <w:rFonts w:ascii="Times New Roman" w:hAnsi="Times New Roman"/>
          <w:b w:val="false"/>
          <w:i w:val="false"/>
          <w:color w:val="000000"/>
          <w:sz w:val="24"/>
        </w:rPr>
        <w:t> </w:t>
      </w:r>
      <w:r>
        <w:rPr>
          <w:rFonts w:ascii="Times New Roman" w:hAnsi="Times New Roman"/>
          <w:b w:val="false"/>
          <w:i/>
          <w:color w:val="000000"/>
          <w:sz w:val="24"/>
        </w:rPr>
        <w:t xml:space="preserve">Agricultural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 xml:space="preserve">Agricultural real estate shall include all tracts of land and the improvements and structures located on them that are in good faith used primarily for agricultural purposes except buildings that are primarily used or intended for human habitation as defined in subrule </w:t>
      </w:r>
      <w:hyperlink r:id="rId10">
        <w:r>
          <w:rPr>
            <w:rStyle w:val="Hyperlink"/>
            <w:rFonts w:ascii="Times New Roman" w:hAnsi="Times New Roman"/>
            <w:b w:val="false"/>
            <w:i w:val="false"/>
            <w:color w:val="000000"/>
            <w:sz w:val="24"/>
          </w:rPr>
          <w:t>102.1(4)</w:t>
        </w:r>
      </w:hyperlink>
      <w:r>
        <w:rPr>
          <w:rFonts w:ascii="Times New Roman" w:hAnsi="Times New Roman"/>
          <w:b w:val="false"/>
          <w:i w:val="false"/>
          <w:color w:val="000000"/>
          <w:sz w:val="24"/>
        </w:rPr>
        <w:t xml:space="preserve">. Land and the nonresidential improvements and structures located on it shall be considered to be used primarily for agricultural purposes if its principal use is devoted to the raising and harvesting of crops or forest or fruit trees; the rearing, feeding, and management of livestock; or horticulture, all for intended profit. Agricultural real estate shall also include woodland, wasteland, and pastureland, but only if that land is held or operated in conjunction with agricultural real estate as defined in paragraph </w:t>
      </w:r>
      <w:hyperlink r:id="rId11">
        <w:r>
          <w:rPr>
            <w:rStyle w:val="Hyperlink"/>
            <w:rFonts w:ascii="Times New Roman" w:hAnsi="Times New Roman"/>
            <w:b w:val="false"/>
            <w:i w:val="false"/>
            <w:color w:val="000000"/>
            <w:sz w:val="24"/>
          </w:rPr>
          <w:t>102.1(3)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Vineyards. </w:t>
      </w:r>
      <w:r>
        <w:rPr>
          <w:rFonts w:ascii="Times New Roman" w:hAnsi="Times New Roman"/>
          <w:b w:val="false"/>
          <w:i w:val="false"/>
          <w:color w:val="000000"/>
          <w:sz w:val="24"/>
        </w:rPr>
        <w:t>Vineyards and any buildings located on a vineyard and used in connection with the vineyard shall be classified as agricultural real estate if the primary use of the land and buildings is an activity related to the production or sale of 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Algae cultivation and production. </w:t>
      </w:r>
      <w:r>
        <w:rPr>
          <w:rFonts w:ascii="Times New Roman" w:hAnsi="Times New Roman"/>
          <w:b w:val="false"/>
          <w:i w:val="false"/>
          <w:color w:val="000000"/>
          <w:sz w:val="24"/>
        </w:rPr>
        <w:t>Real estate used directly in the cultivation and production of algae for harvesting as a crop for animal feed, food, nutritionals, or biofuel production shall be classified as agricultural real estate if the real estate is an enclosed pond or land that contains a photobioreactor. A photobioreactor is not attached to land upon which it sits and shall not be assessed and taxed as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Determining direct usage. Real estate is used “directly” in the cultivation and production of algae if it is used to perform activities that cultivate and produce algae and is not used for activities that occur before or after the cultivation and production of algae. If the real estate is used to perform activities for the cultivation and production of algae to be “directly” used, the real estate must be used to perform activities that are integral and essential to the cultivation and production of algae, as distinguished from activities that are incidental, merely convenient to, or remote from cultivation and production of algae. The fact that real estate is used for activities that are essential or necessary to the cultivation and production of algae does not mean that the real estate is also “directly” used in production. Even if the real estate is used for activities that are essential or necessary to the cultivation and production of algae, if the activities are far enough removed from the cultivation or production of algae, the real estate does not qualify for the agricultural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Examples. The following are nonexclusive examples of real estate that is not directly used in the cultivation and production of algae: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Real estate that is used to store, assemble, or repair machinery and equipment that is used for cultivation and production of algae.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Real estate that is used in the management, administration, advertising, or selling of algae.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Real estate that is used in the management, administration, or planning of the cultivation and production of algae.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Real estate that is used for packaging of the algae that has been produced and cultivated.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102.1(4)</w:t>
      </w:r>
      <w:r>
        <w:rPr>
          <w:rFonts w:ascii="Times New Roman" w:hAnsi="Times New Roman"/>
          <w:b w:val="false"/>
          <w:i w:val="false"/>
          <w:color w:val="000000"/>
          <w:sz w:val="24"/>
        </w:rPr>
        <w:t> </w:t>
      </w:r>
      <w:r>
        <w:rPr>
          <w:rFonts w:ascii="Times New Roman" w:hAnsi="Times New Roman"/>
          <w:b w:val="false"/>
          <w:i/>
          <w:color w:val="000000"/>
          <w:sz w:val="24"/>
        </w:rPr>
        <w:t xml:space="preserve">Residential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Classification of residential real estate—in general. </w:t>
      </w:r>
      <w:r>
        <w:rPr>
          <w:rFonts w:ascii="Times New Roman" w:hAnsi="Times New Roman"/>
          <w:b w:val="false"/>
          <w:i w:val="false"/>
          <w:color w:val="000000"/>
          <w:sz w:val="24"/>
        </w:rPr>
        <w:t>Residential real estate shall include all lands and buildings that are primarily used or intended for human habitation containing fewer than three dwelling units, including those buildings located on agricultural land. Buildings used primarily or intended for human habitation include the dwelling as well as structures and improvements used primarily as a part of, or in conjunction with, the dwelling. This includes but is not limited to garages, whether attached or detached; tennis courts; swimming pools; guest cottages; and storage sheds for household goods. Residential real estate located on agricultural land includes only buildings as defined in this subrule. Buildings for human habitation that are used as commercial ventures, including but not limited to hotels, motels, rest homes, and structures containing three or more separate living quarters, shall not be considered residential real estate. “Used in conjunction with” means that the structure or improvement is located on the same parcel, on contiguous parcels, or on a parcel directly across a street or alley as the building or structure containing the dwelling and when marketed for sale would be sold as a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Horizontal property regimes. </w:t>
      </w:r>
      <w:r>
        <w:rPr>
          <w:rFonts w:ascii="Times New Roman" w:hAnsi="Times New Roman"/>
          <w:b w:val="false"/>
          <w:i w:val="false"/>
          <w:color w:val="000000"/>
          <w:sz w:val="24"/>
        </w:rPr>
        <w:t xml:space="preserve">An apartment in a horizontal property regime (condominium) referred to in Iowa Code chapter </w:t>
      </w:r>
      <w:hyperlink r:id="rId12">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xml:space="preserve"> that is used or intended for use for human habitation shall be classified as residential real estate regardless of who occupies the apartment. Existing structures shall not be converted to a horizontal property regime unless building code requirements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Multiple housing cooperatives. </w:t>
      </w:r>
      <w:r>
        <w:rPr>
          <w:rFonts w:ascii="Times New Roman" w:hAnsi="Times New Roman"/>
          <w:b w:val="false"/>
          <w:i w:val="false"/>
          <w:color w:val="000000"/>
          <w:sz w:val="24"/>
        </w:rPr>
        <w:t xml:space="preserve">Regardless of the number of separate living quarters, multiple housing cooperatives organized under Iowa Code chapter </w:t>
      </w:r>
      <w:hyperlink r:id="rId13">
        <w:r>
          <w:rPr>
            <w:rStyle w:val="Hyperlink"/>
            <w:rFonts w:ascii="Times New Roman" w:hAnsi="Times New Roman"/>
            <w:b w:val="false"/>
            <w:i w:val="false"/>
            <w:color w:val="000000"/>
            <w:sz w:val="24"/>
          </w:rPr>
          <w:t>499A</w:t>
        </w:r>
      </w:hyperlink>
      <w:r>
        <w:rPr>
          <w:rFonts w:ascii="Times New Roman" w:hAnsi="Times New Roman"/>
          <w:b w:val="false"/>
          <w:i w:val="false"/>
          <w:color w:val="000000"/>
          <w:sz w:val="24"/>
        </w:rPr>
        <w:t xml:space="preserve"> and land and buildings owned and operated by organizations that have received tax-exempt status under Section 501(c)(3) of the Internal Revenue Code (IRC), if the rental income from the property is not taxed as unrelated business income under Iowa Code section </w:t>
      </w:r>
      <w:hyperlink r:id="rId14">
        <w:r>
          <w:rPr>
            <w:rStyle w:val="Hyperlink"/>
            <w:rFonts w:ascii="Times New Roman" w:hAnsi="Times New Roman"/>
            <w:b w:val="false"/>
            <w:i w:val="false"/>
            <w:color w:val="000000"/>
            <w:sz w:val="24"/>
          </w:rPr>
          <w:t>422.33(1A)</w:t>
        </w:r>
      </w:hyperlink>
      <w:r>
        <w:rPr>
          <w:rFonts w:ascii="Times New Roman" w:hAnsi="Times New Roman"/>
          <w:b w:val="false"/>
          <w:i w:val="false"/>
          <w:color w:val="000000"/>
          <w:sz w:val="24"/>
        </w:rPr>
        <w:t>, shall be considered residential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Additional classification of residential real estate. </w:t>
      </w:r>
      <w:r>
        <w:rPr>
          <w:rFonts w:ascii="Times New Roman" w:hAnsi="Times New Roman"/>
          <w:b w:val="false"/>
          <w:i w:val="false"/>
          <w:color w:val="000000"/>
          <w:sz w:val="24"/>
        </w:rPr>
        <w:t>For assessment years beginning before January 1, 2027, residential real estate shall also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Mobile home parks.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Manufactured home communities.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Land-leased communities.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Assisted living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parcel primarily used or intended for human habitation containing three or more separate dwelling units. If a portion of such a parcel is used or intended for a purpose that, if the primary use would be classified as commercial property or industrial property, each such portion, including a proportionate share of the land included in the parcel, if applicable, shall be assigned the appropriate classification pursuant to Iowa Code section </w:t>
      </w:r>
      <w:hyperlink r:id="rId15">
        <w:r>
          <w:rPr>
            <w:rStyle w:val="Hyperlink"/>
            <w:rFonts w:ascii="Times New Roman" w:hAnsi="Times New Roman"/>
            <w:b w:val="false"/>
            <w:i w:val="false"/>
            <w:color w:val="000000"/>
            <w:sz w:val="24"/>
          </w:rPr>
          <w:t>441.21(14)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paragraph </w:t>
      </w:r>
      <w:hyperlink r:id="rId16">
        <w:r>
          <w:rPr>
            <w:rStyle w:val="Hyperlink"/>
            <w:rFonts w:ascii="Times New Roman" w:hAnsi="Times New Roman"/>
            <w:b w:val="false"/>
            <w:i w:val="false"/>
            <w:color w:val="000000"/>
            <w:sz w:val="24"/>
          </w:rPr>
          <w:t>102.1(4)</w:t>
        </w:r>
      </w:hyperlink>
      <w:r>
        <w:rPr>
          <w:rFonts w:ascii="Times New Roman" w:hAnsi="Times New Roman"/>
          <w:b w:val="false"/>
          <w:i/>
          <w:color w:val="000000"/>
          <w:sz w:val="24"/>
        </w:rPr>
        <w:t>“e”</w:t>
      </w:r>
      <w:r>
        <w:rPr>
          <w:rFonts w:ascii="Times New Roman" w:hAnsi="Times New Roman"/>
          <w:b w:val="false"/>
          <w:i w:val="false"/>
          <w:color w:val="000000"/>
          <w:sz w:val="24"/>
        </w:rPr>
        <w:t xml:space="preserv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parcel that is primarily used or intended for use as commercial property or industrial property, that portion of the parcel that is used or intended for human habitation, regardless of the number of dwelling units contained on the parcel, including a proportionate share of the land included in the parcel, if applicable. The portion of such a parcel used or intended for use as commercial property or industrial property, including a proportionate share of the land included in the parcel, if applicable, shall be assigned the appropriate classification pursuant to Iowa Code section </w:t>
      </w:r>
      <w:hyperlink r:id="rId17">
        <w:r>
          <w:rPr>
            <w:rStyle w:val="Hyperlink"/>
            <w:rFonts w:ascii="Times New Roman" w:hAnsi="Times New Roman"/>
            <w:b w:val="false"/>
            <w:i w:val="false"/>
            <w:color w:val="000000"/>
            <w:sz w:val="24"/>
          </w:rPr>
          <w:t>441.21(14)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paragraph </w:t>
      </w:r>
      <w:hyperlink r:id="rId18">
        <w:r>
          <w:rPr>
            <w:rStyle w:val="Hyperlink"/>
            <w:rFonts w:ascii="Times New Roman" w:hAnsi="Times New Roman"/>
            <w:b w:val="false"/>
            <w:i w:val="false"/>
            <w:color w:val="000000"/>
            <w:sz w:val="24"/>
          </w:rPr>
          <w:t>102.1(4)</w:t>
        </w:r>
      </w:hyperlink>
      <w:r>
        <w:rPr>
          <w:rFonts w:ascii="Times New Roman" w:hAnsi="Times New Roman"/>
          <w:b w:val="false"/>
          <w:i/>
          <w:color w:val="000000"/>
          <w:sz w:val="24"/>
        </w:rPr>
        <w:t>“e”</w:t>
      </w:r>
      <w:r>
        <w:rPr>
          <w:rFonts w:ascii="Times New Roman" w:hAnsi="Times New Roman"/>
          <w:b w:val="false"/>
          <w:i w:val="false"/>
          <w:color w:val="000000"/>
          <w:sz w:val="24"/>
        </w:rPr>
        <w:t xml:space="preserv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Dual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valuations of parcels for which a portion of the parcel satisfies the requirements for classification as residential property under Iowa Code section </w:t>
      </w:r>
      <w:hyperlink r:id="rId19">
        <w:r>
          <w:rPr>
            <w:rStyle w:val="Hyperlink"/>
            <w:rFonts w:ascii="Times New Roman" w:hAnsi="Times New Roman"/>
            <w:b w:val="false"/>
            <w:i w:val="false"/>
            <w:color w:val="000000"/>
            <w:sz w:val="24"/>
          </w:rPr>
          <w:t>441.21(14)</w:t>
        </w:r>
      </w:hyperlink>
      <w:r>
        <w:rPr>
          <w:rFonts w:ascii="Times New Roman" w:hAnsi="Times New Roman"/>
          <w:b w:val="false"/>
          <w:i/>
          <w:color w:val="000000"/>
          <w:sz w:val="24"/>
        </w:rPr>
        <w:t>“a”</w:t>
      </w:r>
      <w:r>
        <w:rPr>
          <w:rFonts w:ascii="Times New Roman" w:hAnsi="Times New Roman"/>
          <w:b w:val="false"/>
          <w:i w:val="false"/>
          <w:color w:val="000000"/>
          <w:sz w:val="24"/>
        </w:rPr>
        <w:t xml:space="preserve">(6) or </w:t>
      </w:r>
      <w:r>
        <w:rPr>
          <w:rFonts w:ascii="Times New Roman" w:hAnsi="Times New Roman"/>
          <w:b w:val="false"/>
          <w:i/>
          <w:color w:val="000000"/>
          <w:sz w:val="24"/>
        </w:rPr>
        <w:t>“a”</w:t>
      </w:r>
      <w:r>
        <w:rPr>
          <w:rFonts w:ascii="Times New Roman" w:hAnsi="Times New Roman"/>
          <w:b w:val="false"/>
          <w:i w:val="false"/>
          <w:color w:val="000000"/>
          <w:sz w:val="24"/>
        </w:rPr>
        <w:t xml:space="preserve">(7) and subparagraph </w:t>
      </w:r>
      <w:hyperlink r:id="rId20">
        <w:r>
          <w:rPr>
            <w:rStyle w:val="Hyperlink"/>
            <w:rFonts w:ascii="Times New Roman" w:hAnsi="Times New Roman"/>
            <w:b w:val="false"/>
            <w:i w:val="false"/>
            <w:color w:val="000000"/>
            <w:sz w:val="24"/>
          </w:rPr>
          <w:t>102.1(4)</w:t>
        </w:r>
      </w:hyperlink>
      <w:r>
        <w:rPr>
          <w:rFonts w:ascii="Times New Roman" w:hAnsi="Times New Roman"/>
          <w:b w:val="false"/>
          <w:i/>
          <w:color w:val="000000"/>
          <w:sz w:val="24"/>
        </w:rPr>
        <w:t>“d”</w:t>
      </w:r>
      <w:r>
        <w:rPr>
          <w:rFonts w:ascii="Times New Roman" w:hAnsi="Times New Roman"/>
          <w:b w:val="false"/>
          <w:i w:val="false"/>
          <w:color w:val="000000"/>
          <w:sz w:val="24"/>
        </w:rPr>
        <w:t xml:space="preserve">(5) or </w:t>
      </w:r>
      <w:r>
        <w:rPr>
          <w:rFonts w:ascii="Times New Roman" w:hAnsi="Times New Roman"/>
          <w:b w:val="false"/>
          <w:i/>
          <w:color w:val="000000"/>
          <w:sz w:val="24"/>
        </w:rPr>
        <w:t>“d”</w:t>
      </w:r>
      <w:r>
        <w:rPr>
          <w:rFonts w:ascii="Times New Roman" w:hAnsi="Times New Roman"/>
          <w:b w:val="false"/>
          <w:i w:val="false"/>
          <w:color w:val="000000"/>
          <w:sz w:val="24"/>
        </w:rPr>
        <w:t>(6), the assessor shall assign to that portion of the parcel the classification of residential property and to such other portions of the parcel the property classification for which such other portions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only permitted combinations of dual classifications are commercial and residential or industrial and residential. The assessor shall assign the classification of residential to that portion of the parcel that satisfies the requirements for the classification of residential property and to such other portions of the parcel the property classification for which such other portions qualify. The assessor shall maintain the valuation and assessment of property with a dual classification on one parcel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Section 42 housing. </w:t>
      </w:r>
      <w:r>
        <w:rPr>
          <w:rFonts w:ascii="Times New Roman" w:hAnsi="Times New Roman"/>
          <w:b w:val="false"/>
          <w:i w:val="false"/>
          <w:color w:val="000000"/>
          <w:sz w:val="24"/>
        </w:rPr>
        <w:t xml:space="preserve">Property that is rented or leased to low-income individuals and families as authorized by IRC Section 42, and that has not been withdrawn from Section 42 assessment procedures under Iowa Code section </w:t>
      </w:r>
      <w:hyperlink r:id="rId21">
        <w:r>
          <w:rPr>
            <w:rStyle w:val="Hyperlink"/>
            <w:rFonts w:ascii="Times New Roman" w:hAnsi="Times New Roman"/>
            <w:b w:val="false"/>
            <w:i w:val="false"/>
            <w:color w:val="000000"/>
            <w:sz w:val="24"/>
          </w:rPr>
          <w:t>441.21(2)</w:t>
        </w:r>
      </w:hyperlink>
      <w:r>
        <w:rPr>
          <w:rFonts w:ascii="Times New Roman" w:hAnsi="Times New Roman"/>
          <w:b w:val="false"/>
          <w:i w:val="false"/>
          <w:color w:val="000000"/>
          <w:sz w:val="24"/>
        </w:rPr>
        <w:t>, shall not be classified as residential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Short-term leases. </w:t>
      </w:r>
      <w:r>
        <w:rPr>
          <w:rFonts w:ascii="Times New Roman" w:hAnsi="Times New Roman"/>
          <w:b w:val="false"/>
          <w:i w:val="false"/>
          <w:color w:val="000000"/>
          <w:sz w:val="24"/>
        </w:rPr>
        <w:t>A hotel, motel, inn, or other building where rooms or dwelling units are usually rented for less than one month shall not be classified as residential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102.1(5)</w:t>
      </w:r>
      <w:r>
        <w:rPr>
          <w:rFonts w:ascii="Times New Roman" w:hAnsi="Times New Roman"/>
          <w:b w:val="false"/>
          <w:i w:val="false"/>
          <w:color w:val="000000"/>
          <w:sz w:val="24"/>
        </w:rPr>
        <w:t> </w:t>
      </w:r>
      <w:r>
        <w:rPr>
          <w:rFonts w:ascii="Times New Roman" w:hAnsi="Times New Roman"/>
          <w:b w:val="false"/>
          <w:i/>
          <w:color w:val="000000"/>
          <w:sz w:val="24"/>
        </w:rPr>
        <w:t xml:space="preserve">Commercial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Commercial real estate shall include all lands and improvements and structures located thereon that are primarily used or intended as a place of business where goods, wares, services, or merchandise is stored or offered for sale at wholesale or retail. Commercial realty also includes hotels, motels, and property that is rented or leased to low-income individuals and families as authorized by IRC Section 42 and has not been withdrawn from Section 42 assessment procedures under Iowa Code section </w:t>
      </w:r>
      <w:hyperlink r:id="rId22">
        <w:r>
          <w:rPr>
            <w:rStyle w:val="Hyperlink"/>
            <w:rFonts w:ascii="Times New Roman" w:hAnsi="Times New Roman"/>
            <w:b w:val="false"/>
            <w:i w:val="false"/>
            <w:color w:val="000000"/>
            <w:sz w:val="24"/>
          </w:rPr>
          <w:t>441.21(2)</w:t>
        </w:r>
      </w:hyperlink>
      <w:r>
        <w:rPr>
          <w:rFonts w:ascii="Times New Roman" w:hAnsi="Times New Roman"/>
          <w:b w:val="false"/>
          <w:i w:val="false"/>
          <w:color w:val="000000"/>
          <w:sz w:val="24"/>
        </w:rPr>
        <w:t xml:space="preserve">. Commercial real estate also includes data processing equipment as defined in Iowa Code section </w:t>
      </w:r>
      <w:hyperlink r:id="rId23">
        <w:r>
          <w:rPr>
            <w:rStyle w:val="Hyperlink"/>
            <w:rFonts w:ascii="Times New Roman" w:hAnsi="Times New Roman"/>
            <w:b w:val="false"/>
            <w:i w:val="false"/>
            <w:color w:val="000000"/>
            <w:sz w:val="24"/>
          </w:rPr>
          <w:t>427A.1(1)</w:t>
        </w:r>
      </w:hyperlink>
      <w:r>
        <w:rPr>
          <w:rFonts w:ascii="Times New Roman" w:hAnsi="Times New Roman"/>
          <w:b w:val="false"/>
          <w:i/>
          <w:color w:val="000000"/>
          <w:sz w:val="24"/>
        </w:rPr>
        <w:t>“j,”</w:t>
      </w:r>
      <w:r>
        <w:rPr>
          <w:rFonts w:ascii="Times New Roman" w:hAnsi="Times New Roman"/>
          <w:b w:val="false"/>
          <w:i w:val="false"/>
          <w:color w:val="000000"/>
          <w:sz w:val="24"/>
        </w:rPr>
        <w:t xml:space="preserve"> except data processing equipment used in the manufacturing process. However, regardless of the number of separate living quarters or any commercial use of the property, single- and two-family dwellings, multiple housing cooperatives organized under Iowa Code chapter </w:t>
      </w:r>
      <w:hyperlink r:id="rId24">
        <w:r>
          <w:rPr>
            <w:rStyle w:val="Hyperlink"/>
            <w:rFonts w:ascii="Times New Roman" w:hAnsi="Times New Roman"/>
            <w:b w:val="false"/>
            <w:i w:val="false"/>
            <w:color w:val="000000"/>
            <w:sz w:val="24"/>
          </w:rPr>
          <w:t>499A</w:t>
        </w:r>
      </w:hyperlink>
      <w:r>
        <w:rPr>
          <w:rFonts w:ascii="Times New Roman" w:hAnsi="Times New Roman"/>
          <w:b w:val="false"/>
          <w:i w:val="false"/>
          <w:color w:val="000000"/>
          <w:sz w:val="24"/>
        </w:rPr>
        <w:t xml:space="preserve">, and land and buildings used primarily for human habitation and owned and operated by organizations that have received tax-exempt status under IRC Section 501(c)(3), if the rental income from the property is not taxed as unrelated business income under Iowa Code section </w:t>
      </w:r>
      <w:hyperlink r:id="rId25">
        <w:r>
          <w:rPr>
            <w:rStyle w:val="Hyperlink"/>
            <w:rFonts w:ascii="Times New Roman" w:hAnsi="Times New Roman"/>
            <w:b w:val="false"/>
            <w:i w:val="false"/>
            <w:color w:val="000000"/>
            <w:sz w:val="24"/>
          </w:rPr>
          <w:t>422.33(1A)</w:t>
        </w:r>
      </w:hyperlink>
      <w:r>
        <w:rPr>
          <w:rFonts w:ascii="Times New Roman" w:hAnsi="Times New Roman"/>
          <w:b w:val="false"/>
          <w:i w:val="false"/>
          <w:color w:val="000000"/>
          <w:sz w:val="24"/>
        </w:rPr>
        <w:t>, shall be classified as residential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apartment in a horizontal property regime (condominium) referred to in Iowa Code chapter </w:t>
      </w:r>
      <w:hyperlink r:id="rId26">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xml:space="preserve"> that is used or intended for use as a commercial venture, other than leased for human habitation, shall be classified as commercial real estate. Existing structures shall not be converted to a horizontal property regime unless building code requirements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102.1(6)</w:t>
      </w:r>
      <w:r>
        <w:rPr>
          <w:rFonts w:ascii="Times New Roman" w:hAnsi="Times New Roman"/>
          <w:b w:val="false"/>
          <w:i w:val="false"/>
          <w:color w:val="000000"/>
          <w:sz w:val="24"/>
        </w:rPr>
        <w:t> </w:t>
      </w:r>
      <w:r>
        <w:rPr>
          <w:rFonts w:ascii="Times New Roman" w:hAnsi="Times New Roman"/>
          <w:b w:val="false"/>
          <w:i/>
          <w:color w:val="000000"/>
          <w:sz w:val="24"/>
        </w:rPr>
        <w:t xml:space="preserve">Industrial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Land and buildings.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Industrial real estate includes land, buildings, structures, and improvements used primarily as a manufacturing establishment. A manufacturing establishment is a business entity in which the primary activity consists of adding to the value of personal property by any process of manufacturing, refining, or purifying; the packing of meats; or the combination of different materials with the intent of selling the product for gain or profit. Industrial real estate includes land and buildings used for the storage of raw materials or finished products that are an integral part of the manufacturing establishment and also includes office space used as part of a manufacturing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property is used primarily as a manufacturing establishment and, therefore, assessed as industrial real estate depends upon the extent to which the property is used for the activities enumerated in subparagraph </w:t>
      </w:r>
      <w:hyperlink r:id="rId27">
        <w:r>
          <w:rPr>
            <w:rStyle w:val="Hyperlink"/>
            <w:rFonts w:ascii="Times New Roman" w:hAnsi="Times New Roman"/>
            <w:b w:val="false"/>
            <w:i w:val="false"/>
            <w:color w:val="000000"/>
            <w:sz w:val="24"/>
          </w:rPr>
          <w:t>102.1(6)</w:t>
        </w:r>
      </w:hyperlink>
      <w:r>
        <w:rPr>
          <w:rFonts w:ascii="Times New Roman" w:hAnsi="Times New Roman"/>
          <w:b w:val="false"/>
          <w:i/>
          <w:color w:val="000000"/>
          <w:sz w:val="24"/>
        </w:rPr>
        <w:t>“a”</w:t>
      </w:r>
      <w:r>
        <w:rPr>
          <w:rFonts w:ascii="Times New Roman" w:hAnsi="Times New Roman"/>
          <w:b w:val="false"/>
          <w:i w:val="false"/>
          <w:color w:val="000000"/>
          <w:sz w:val="24"/>
        </w:rPr>
        <w:t xml:space="preserve">(1). Property in which the performance of these activities is only incidental to the property’s primary use for another purpose is not a manufacturing establishment.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grocery store in which bakery goods are prepared would be assessed as commercial real estate since the primary use of the grocery store premises is for the sale of goods not manufactured by the grocery, and the industrial activity (i.e., baking) is only incidental to the store premises’ primary use. However, property that is used primarily as a bakery would be assessed as industrial real estate, even if baked goods are sold at retail on the premises, since the bakery premises’ primary use would be for an industrial activity to which the retail sale of baked goods is merely incidental.</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facility that has as its primary use the mixing and blending of products to manufacture feed would be assessed as industrial real estate, even though a portion of the facility is used solely for the storage of grain, if the use for storage is merely incidental to the property’s primary use as a manufacturing establishment. Conversely, a facility used primarily for the storage of grain would be assessed as commercial real estate even though a part of the facility is used to manufacture feed. In the latter situation, the industrial use of the property (i.e., the manufacture of feed) is merely incidental to the property’s primary use for commercial purposes (i.e., the storage of grain).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used primarily for the extraction of rock or mineral substances from the earth is not a manufacturing establishment if the only processing performed on the substance is to change its size by crushing or pulverizing.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Machinery.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Machinery includes equipment and devices, both automated and nonautomated, that is used in manufacturing as described in Iowa Code section </w:t>
      </w:r>
      <w:hyperlink r:id="rId28">
        <w:r>
          <w:rPr>
            <w:rStyle w:val="Hyperlink"/>
            <w:rFonts w:ascii="Times New Roman" w:hAnsi="Times New Roman"/>
            <w:b w:val="false"/>
            <w:i w:val="false"/>
            <w:color w:val="000000"/>
            <w:sz w:val="24"/>
          </w:rPr>
          <w:t>428.20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Machinery owned or used by a manufacturer but not used within the manufacturing establishment is not assessed as industrial real estate.</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X operates a factory that manufactures building materials for sale. In addition, X uses some of these building materials in construction contracts. The machinery that X would primarily use at the construction site would not be used in a manufacturing establishment and, therefore, would not be assessed as industrial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Machinery used in manufacturing but not used in or by a manufacturing establishment is not assessed as industrial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Where the primary function of a manufacturing establishment is to manufacture personal property that is consumed by the manufacturer rather than sold, the machinery used in the manufacturing establishment is not assessed as industrial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Special valuation for wind energy. </w:t>
      </w:r>
      <w:r>
        <w:rPr>
          <w:rFonts w:ascii="Times New Roman" w:hAnsi="Times New Roman"/>
          <w:b w:val="false"/>
          <w:i w:val="false"/>
          <w:color w:val="000000"/>
          <w:sz w:val="24"/>
        </w:rPr>
        <w:t xml:space="preserve">Wind energy conversion property subject to special valuation under Iowa Code section </w:t>
      </w:r>
      <w:hyperlink r:id="rId29">
        <w:r>
          <w:rPr>
            <w:rStyle w:val="Hyperlink"/>
            <w:rFonts w:ascii="Times New Roman" w:hAnsi="Times New Roman"/>
            <w:b w:val="false"/>
            <w:i w:val="false"/>
            <w:color w:val="000000"/>
            <w:sz w:val="24"/>
          </w:rPr>
          <w:t>427B.26</w:t>
        </w:r>
      </w:hyperlink>
      <w:r>
        <w:rPr>
          <w:rFonts w:ascii="Times New Roman" w:hAnsi="Times New Roman"/>
          <w:b w:val="false"/>
          <w:i w:val="false"/>
          <w:color w:val="000000"/>
          <w:sz w:val="24"/>
        </w:rPr>
        <w:t xml:space="preserve"> shall be classified as industrial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102.1(7)</w:t>
      </w:r>
      <w:r>
        <w:rPr>
          <w:rFonts w:ascii="Times New Roman" w:hAnsi="Times New Roman"/>
          <w:b w:val="false"/>
          <w:i w:val="false"/>
          <w:color w:val="000000"/>
          <w:sz w:val="24"/>
        </w:rPr>
        <w:t> </w:t>
      </w:r>
      <w:r>
        <w:rPr>
          <w:rFonts w:ascii="Times New Roman" w:hAnsi="Times New Roman"/>
          <w:b w:val="false"/>
          <w:i/>
          <w:color w:val="000000"/>
          <w:sz w:val="24"/>
        </w:rPr>
        <w:t xml:space="preserve">Point-of-sales equipment. </w:t>
      </w:r>
      <w:r>
        <w:rPr>
          <w:rFonts w:ascii="Times New Roman" w:hAnsi="Times New Roman"/>
          <w:b w:val="false"/>
          <w:i w:val="false"/>
          <w:color w:val="000000"/>
          <w:sz w:val="24"/>
        </w:rPr>
        <w:t xml:space="preserve">As used in Iowa Code section </w:t>
      </w:r>
      <w:hyperlink r:id="rId30">
        <w:r>
          <w:rPr>
            <w:rStyle w:val="Hyperlink"/>
            <w:rFonts w:ascii="Times New Roman" w:hAnsi="Times New Roman"/>
            <w:b w:val="false"/>
            <w:i w:val="false"/>
            <w:color w:val="000000"/>
            <w:sz w:val="24"/>
          </w:rPr>
          <w:t>427A.1(1)</w:t>
        </w:r>
      </w:hyperlink>
      <w:r>
        <w:rPr>
          <w:rFonts w:ascii="Times New Roman" w:hAnsi="Times New Roman"/>
          <w:b w:val="false"/>
          <w:i/>
          <w:color w:val="000000"/>
          <w:sz w:val="24"/>
        </w:rPr>
        <w:t>“j,”</w:t>
      </w:r>
      <w:r>
        <w:rPr>
          <w:rFonts w:ascii="Times New Roman" w:hAnsi="Times New Roman"/>
          <w:b w:val="false"/>
          <w:i w:val="false"/>
          <w:color w:val="000000"/>
          <w:sz w:val="24"/>
        </w:rPr>
        <w:t xml:space="preserve"> “point-of-sales equipment” means input, output, and processing equipment used to consummate a sale and to record or process information pertaining to a sale transaction at the time the sale takes place and that is located at the counter, desk, or other specific point at which the transaction occurs. As used in this subrule, “sale” means the sale or rental of goods or services and includes both retail and wholesale transactions. Point-of-sales equipment does not include equipment used primarily for depositing or withdrawing funds from financial institution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102.1(8)</w:t>
      </w:r>
      <w:r>
        <w:rPr>
          <w:rFonts w:ascii="Times New Roman" w:hAnsi="Times New Roman"/>
          <w:b w:val="false"/>
          <w:i w:val="false"/>
          <w:color w:val="000000"/>
          <w:sz w:val="24"/>
        </w:rPr>
        <w:t> </w:t>
      </w:r>
      <w:r>
        <w:rPr>
          <w:rFonts w:ascii="Times New Roman" w:hAnsi="Times New Roman"/>
          <w:b w:val="false"/>
          <w:i/>
          <w:color w:val="000000"/>
          <w:sz w:val="24"/>
        </w:rPr>
        <w:t xml:space="preserve">Housing development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“Subdivide” means to divide a tract of land into three or more 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Ordinances adopted on or after January 1, 2004, but prior to January 1, 2011.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Ordinances adopted under Iowa Code section </w:t>
      </w:r>
      <w:hyperlink r:id="rId31">
        <w:r>
          <w:rPr>
            <w:rStyle w:val="Hyperlink"/>
            <w:rFonts w:ascii="Times New Roman" w:hAnsi="Times New Roman"/>
            <w:b w:val="false"/>
            <w:i w:val="false"/>
            <w:color w:val="000000"/>
            <w:sz w:val="24"/>
          </w:rPr>
          <w:t>405.1(1)</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405.1(2)</w:t>
        </w:r>
      </w:hyperlink>
      <w:r>
        <w:rPr>
          <w:rFonts w:ascii="Times New Roman" w:hAnsi="Times New Roman"/>
          <w:b w:val="false"/>
          <w:i w:val="false"/>
          <w:color w:val="000000"/>
          <w:sz w:val="24"/>
        </w:rPr>
        <w:t>, to the extent such ordinances affect the assessment of property subdivided for development of housing on or after January 1, 2004, but before January 1, 2011, shall remain in effect or otherwise be made effective, and such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Adopted under Iowa Code section </w:t>
      </w:r>
      <w:hyperlink r:id="rId33">
        <w:r>
          <w:rPr>
            <w:rStyle w:val="Hyperlink"/>
            <w:rFonts w:ascii="Times New Roman" w:hAnsi="Times New Roman"/>
            <w:b w:val="false"/>
            <w:i w:val="false"/>
            <w:color w:val="000000"/>
            <w:sz w:val="24"/>
          </w:rPr>
          <w:t>405.1(1)</w:t>
        </w:r>
      </w:hyperlink>
      <w:r>
        <w:rPr>
          <w:rFonts w:ascii="Times New Roman" w:hAnsi="Times New Roman"/>
          <w:b w:val="false"/>
          <w:i w:val="false"/>
          <w:color w:val="000000"/>
          <w:sz w:val="24"/>
        </w:rPr>
        <w:t>, applicable to counties with a population of less than 20,000, shall be extended, from a period of five years, to apply to a period of ten years from the date of subdivision.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Adopted under Iowa Code section </w:t>
      </w:r>
      <w:hyperlink r:id="rId34">
        <w:r>
          <w:rPr>
            <w:rStyle w:val="Hyperlink"/>
            <w:rFonts w:ascii="Times New Roman" w:hAnsi="Times New Roman"/>
            <w:b w:val="false"/>
            <w:i w:val="false"/>
            <w:color w:val="000000"/>
            <w:sz w:val="24"/>
          </w:rPr>
          <w:t>405.1(2)</w:t>
        </w:r>
      </w:hyperlink>
      <w:r>
        <w:rPr>
          <w:rFonts w:ascii="Times New Roman" w:hAnsi="Times New Roman"/>
          <w:b w:val="false"/>
          <w:i w:val="false"/>
          <w:color w:val="000000"/>
          <w:sz w:val="24"/>
        </w:rPr>
        <w:t>, applicable to counties with a population of 20,000 or more, shall be extended, from a period of three years, to apply to a period of eight years from the date of subdivision.</w:t>
      </w:r>
    </w:p>
    <w:p>
      <w:pPr>
        <w:spacing w:before="0" w:after="0" w:line="480"/>
        <w:ind w:left="120"/>
        <w:jc w:val="both"/>
      </w:pPr>
      <w:r>
        <w:rPr>
          <w:rFonts w:ascii="Times New Roman" w:hAnsi="Times New Roman"/>
          <w:b w:val="false"/>
          <w:i w:val="false"/>
          <w:color w:val="000000"/>
          <w:sz w:val="24"/>
        </w:rPr>
        <w:t xml:space="preserve">Each lot shall continue to be taxed in the manner it was taxed prior to acquisition for housing until the lot is sold for construction or occupancy of housing, or ten years pursuant to numbered paragraph </w:t>
      </w:r>
      <w:hyperlink r:id="rId35">
        <w:r>
          <w:rPr>
            <w:rStyle w:val="Hyperlink"/>
            <w:rFonts w:ascii="Times New Roman" w:hAnsi="Times New Roman"/>
            <w:b w:val="false"/>
            <w:i w:val="false"/>
            <w:color w:val="000000"/>
            <w:sz w:val="24"/>
          </w:rPr>
          <w:t>102.1(8)</w:t>
        </w:r>
      </w:hyperlink>
      <w:r>
        <w:rPr>
          <w:rFonts w:ascii="Times New Roman" w:hAnsi="Times New Roman"/>
          <w:b w:val="false"/>
          <w:i/>
          <w:color w:val="000000"/>
          <w:sz w:val="24"/>
        </w:rPr>
        <w:t>“b”</w:t>
      </w:r>
      <w:r>
        <w:rPr>
          <w:rFonts w:ascii="Times New Roman" w:hAnsi="Times New Roman"/>
          <w:b w:val="false"/>
          <w:i w:val="false"/>
          <w:color w:val="000000"/>
          <w:sz w:val="24"/>
        </w:rPr>
        <w:t xml:space="preserve">(1)“1” or eight years pursuant to numbered paragraph </w:t>
      </w:r>
      <w:hyperlink r:id="rId36">
        <w:r>
          <w:rPr>
            <w:rStyle w:val="Hyperlink"/>
            <w:rFonts w:ascii="Times New Roman" w:hAnsi="Times New Roman"/>
            <w:b w:val="false"/>
            <w:i w:val="false"/>
            <w:color w:val="000000"/>
            <w:sz w:val="24"/>
          </w:rPr>
          <w:t>102.1(8)</w:t>
        </w:r>
      </w:hyperlink>
      <w:r>
        <w:rPr>
          <w:rFonts w:ascii="Times New Roman" w:hAnsi="Times New Roman"/>
          <w:b w:val="false"/>
          <w:i/>
          <w:color w:val="000000"/>
          <w:sz w:val="24"/>
        </w:rPr>
        <w:t>“b”</w:t>
      </w:r>
      <w:r>
        <w:rPr>
          <w:rFonts w:ascii="Times New Roman" w:hAnsi="Times New Roman"/>
          <w:b w:val="false"/>
          <w:i w:val="false"/>
          <w:color w:val="000000"/>
          <w:sz w:val="24"/>
        </w:rPr>
        <w:t>(1)“2” (or the extended period, if applicable) from the date of subdivision, whichever occurs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 or after July 27, 2011, the board of supervisors of a county may amend an ordinance adopted under Iowa Code section </w:t>
      </w:r>
      <w:hyperlink r:id="rId37">
        <w:r>
          <w:rPr>
            <w:rStyle w:val="Hyperlink"/>
            <w:rFonts w:ascii="Times New Roman" w:hAnsi="Times New Roman"/>
            <w:b w:val="false"/>
            <w:i w:val="false"/>
            <w:color w:val="000000"/>
            <w:sz w:val="24"/>
          </w:rPr>
          <w:t>405.1(1)</w:t>
        </w:r>
      </w:hyperlink>
      <w:r>
        <w:rPr>
          <w:rFonts w:ascii="Times New Roman" w:hAnsi="Times New Roman"/>
          <w:b w:val="false"/>
          <w:i w:val="false"/>
          <w:color w:val="000000"/>
          <w:sz w:val="24"/>
        </w:rPr>
        <w:t xml:space="preserve"> or </w:t>
      </w:r>
      <w:hyperlink r:id="rId38">
        <w:r>
          <w:rPr>
            <w:rStyle w:val="Hyperlink"/>
            <w:rFonts w:ascii="Times New Roman" w:hAnsi="Times New Roman"/>
            <w:b w:val="false"/>
            <w:i w:val="false"/>
            <w:color w:val="000000"/>
            <w:sz w:val="24"/>
          </w:rPr>
          <w:t>405.1(2)</w:t>
        </w:r>
      </w:hyperlink>
      <w:r>
        <w:rPr>
          <w:rFonts w:ascii="Times New Roman" w:hAnsi="Times New Roman"/>
          <w:b w:val="false"/>
          <w:i w:val="false"/>
          <w:color w:val="000000"/>
          <w:sz w:val="24"/>
        </w:rPr>
        <w:t xml:space="preserve"> to extend the ten- and eight-year periods, respectively, for a period of time not to exceed five years beyond the end of the ten- and eight-year periods established under Iowa Code section </w:t>
      </w:r>
      <w:hyperlink r:id="rId39">
        <w:r>
          <w:rPr>
            <w:rStyle w:val="Hyperlink"/>
            <w:rFonts w:ascii="Times New Roman" w:hAnsi="Times New Roman"/>
            <w:b w:val="false"/>
            <w:i w:val="false"/>
            <w:color w:val="000000"/>
            <w:sz w:val="24"/>
          </w:rPr>
          <w:t>405.1(1)</w:t>
        </w:r>
      </w:hyperlink>
      <w:r>
        <w:rPr>
          <w:rFonts w:ascii="Times New Roman" w:hAnsi="Times New Roman"/>
          <w:b w:val="false"/>
          <w:i/>
          <w:color w:val="000000"/>
          <w:sz w:val="24"/>
        </w:rPr>
        <w:t>“b.”</w:t>
      </w:r>
      <w:r>
        <w:rPr>
          <w:rFonts w:ascii="Times New Roman" w:hAnsi="Times New Roman"/>
          <w:b w:val="false"/>
          <w:i w:val="false"/>
          <w:color w:val="000000"/>
          <w:sz w:val="24"/>
        </w:rPr>
        <w:t xml:space="preserve"> Thus, the maximum special assessment time for ordinances adopted on or after January 1, 2004, but prior to January 1, 2011, for counties with a population of less than 20,000 shall be 15 years. For counties with a population of 20,000 or more, the maximum shall be 13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city council may adopt an ordinance, affecting all or a portion of the property located within the incorporated area of the city subject to the county ordinance adopted under Iowa Code section </w:t>
      </w:r>
      <w:hyperlink r:id="rId40">
        <w:r>
          <w:rPr>
            <w:rStyle w:val="Hyperlink"/>
            <w:rFonts w:ascii="Times New Roman" w:hAnsi="Times New Roman"/>
            <w:b w:val="false"/>
            <w:i w:val="false"/>
            <w:color w:val="000000"/>
            <w:sz w:val="24"/>
          </w:rPr>
          <w:t>405.1(1)</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405.1(2)</w:t>
        </w:r>
      </w:hyperlink>
      <w:r>
        <w:rPr>
          <w:rFonts w:ascii="Times New Roman" w:hAnsi="Times New Roman"/>
          <w:b w:val="false"/>
          <w:i w:val="false"/>
          <w:color w:val="000000"/>
          <w:sz w:val="24"/>
        </w:rPr>
        <w:t xml:space="preserve">, extending the county ordinances not previously extended by the board of supervisors up to five years. An ordinance by a city council providing for an extension under Iowa Code section </w:t>
      </w:r>
      <w:hyperlink r:id="rId42">
        <w:r>
          <w:rPr>
            <w:rStyle w:val="Hyperlink"/>
            <w:rFonts w:ascii="Times New Roman" w:hAnsi="Times New Roman"/>
            <w:b w:val="false"/>
            <w:i w:val="false"/>
            <w:color w:val="000000"/>
            <w:sz w:val="24"/>
          </w:rPr>
          <w:t>405.1(3)</w:t>
        </w:r>
      </w:hyperlink>
      <w:r>
        <w:rPr>
          <w:rFonts w:ascii="Times New Roman" w:hAnsi="Times New Roman"/>
          <w:b w:val="false"/>
          <w:i w:val="false"/>
          <w:color w:val="000000"/>
          <w:sz w:val="24"/>
        </w:rPr>
        <w:t xml:space="preserve"> shall be subject to the five-year limitation under Iowa Code section </w:t>
      </w:r>
      <w:hyperlink r:id="rId43">
        <w:r>
          <w:rPr>
            <w:rStyle w:val="Hyperlink"/>
            <w:rFonts w:ascii="Times New Roman" w:hAnsi="Times New Roman"/>
            <w:b w:val="false"/>
            <w:i w:val="false"/>
            <w:color w:val="000000"/>
            <w:sz w:val="24"/>
          </w:rPr>
          <w:t>405.1(2)</w:t>
        </w:r>
      </w:hyperlink>
      <w:r>
        <w:rPr>
          <w:rFonts w:ascii="Times New Roman" w:hAnsi="Times New Roman"/>
          <w:b w:val="false"/>
          <w:i w:val="false"/>
          <w:color w:val="000000"/>
          <w:sz w:val="24"/>
        </w:rPr>
        <w:t>. Thus, the maximum time to appeal an ordinance adopted on or after January 1, 2004, but prior to January 1, 2011, for counties with a population of less than 20,000 shall be 15 years if the city council amends an ordinance originally adopted by the board of supervisors. For counties with a population of 20,000 or more, the maximum special assessment time shall be 13 years.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405.1</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427A.1</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441.22</w:t>
        </w:r>
      </w:hyperlink>
      <w:r>
        <w:rPr>
          <w:rFonts w:ascii="Times New Roman" w:hAnsi="Times New Roman"/>
          <w:b w:val="false"/>
          <w:i w:val="false"/>
          <w:color w:val="000000"/>
          <w:sz w:val="24"/>
        </w:rPr>
        <w:t xml:space="preserve"> and chapter </w:t>
      </w:r>
      <w:hyperlink r:id="rId49">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Assessment and valuation of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w:t>
      </w:r>
      <w:r>
        <w:rPr>
          <w:rFonts w:ascii="Times New Roman" w:hAnsi="Times New Roman"/>
          <w:b w:val="false"/>
          <w:i w:val="false"/>
          <w:color w:val="000000"/>
          <w:sz w:val="24"/>
        </w:rPr>
        <w:t> </w:t>
      </w:r>
      <w:r>
        <w:rPr>
          <w:rFonts w:ascii="Times New Roman" w:hAnsi="Times New Roman"/>
          <w:b w:val="false"/>
          <w:i/>
          <w:color w:val="000000"/>
          <w:sz w:val="24"/>
        </w:rPr>
        <w:t xml:space="preserve">Responsibility of assessor. </w:t>
      </w:r>
      <w:r>
        <w:rPr>
          <w:rFonts w:ascii="Times New Roman" w:hAnsi="Times New Roman"/>
          <w:b w:val="false"/>
          <w:i w:val="false"/>
          <w:color w:val="000000"/>
          <w:sz w:val="24"/>
        </w:rPr>
        <w:t>The valuation of real estate as established by city and county assessors shall be the actual value of the real estate as of January 1 of the year in which the assessment is made. New parcels of real estate created by the division of existing parcels of real estate shall be assessed separately as of January 1 of the year following the division of the existing parcel of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102.2(2)</w:t>
      </w:r>
      <w:r>
        <w:rPr>
          <w:rFonts w:ascii="Times New Roman" w:hAnsi="Times New Roman"/>
          <w:b w:val="false"/>
          <w:i w:val="false"/>
          <w:color w:val="000000"/>
          <w:sz w:val="24"/>
        </w:rPr>
        <w:t> </w:t>
      </w:r>
      <w:r>
        <w:rPr>
          <w:rFonts w:ascii="Times New Roman" w:hAnsi="Times New Roman"/>
          <w:b w:val="false"/>
          <w:i/>
          <w:color w:val="000000"/>
          <w:sz w:val="24"/>
        </w:rPr>
        <w:t xml:space="preserve">Responsibility of other assessing officials. </w:t>
      </w:r>
      <w:r>
        <w:rPr>
          <w:rFonts w:ascii="Times New Roman" w:hAnsi="Times New Roman"/>
          <w:b w:val="false"/>
          <w:i w:val="false"/>
          <w:color w:val="000000"/>
          <w:sz w:val="24"/>
        </w:rPr>
        <w:t xml:space="preserve">Whenever local boards of review, county auditors, and county treasurers exercise assessment functions allowed or required by law, the local boards of review, county auditors, and county treasurers shall follow the provisions of subrule </w:t>
      </w:r>
      <w:hyperlink r:id="rId50">
        <w:r>
          <w:rPr>
            <w:rStyle w:val="Hyperlink"/>
            <w:rFonts w:ascii="Times New Roman" w:hAnsi="Times New Roman"/>
            <w:b w:val="false"/>
            <w:i w:val="false"/>
            <w:color w:val="000000"/>
            <w:sz w:val="24"/>
          </w:rPr>
          <w:t>102.2(1)</w:t>
        </w:r>
      </w:hyperlink>
      <w:r>
        <w:rPr>
          <w:rFonts w:ascii="Times New Roman" w:hAnsi="Times New Roman"/>
          <w:b w:val="false"/>
          <w:i w:val="false"/>
          <w:color w:val="000000"/>
          <w:sz w:val="24"/>
        </w:rPr>
        <w:t xml:space="preserve"> and rules </w:t>
      </w:r>
      <w:hyperlink r:id="rId51">
        <w:r>
          <w:rPr>
            <w:rStyle w:val="Hyperlink"/>
            <w:rFonts w:ascii="Times New Roman" w:hAnsi="Times New Roman"/>
            <w:b w:val="false"/>
            <w:i w:val="false"/>
            <w:color w:val="000000"/>
            <w:sz w:val="24"/>
          </w:rPr>
          <w:t>701—102.3</w:t>
        </w:r>
      </w:hyperlink>
      <w:r>
        <w:rPr>
          <w:rFonts w:ascii="Times New Roman" w:hAnsi="Times New Roman"/>
          <w:b w:val="false"/>
          <w:i w:val="false"/>
          <w:color w:val="000000"/>
          <w:sz w:val="24"/>
        </w:rPr>
        <w:t xml:space="preserve">(421,428,441) through </w:t>
      </w:r>
      <w:hyperlink r:id="rId52">
        <w:r>
          <w:rPr>
            <w:rStyle w:val="Hyperlink"/>
            <w:rFonts w:ascii="Times New Roman" w:hAnsi="Times New Roman"/>
            <w:b w:val="false"/>
            <w:i w:val="false"/>
            <w:color w:val="000000"/>
            <w:sz w:val="24"/>
          </w:rPr>
          <w:t>701—102.6</w:t>
        </w:r>
      </w:hyperlink>
      <w:r>
        <w:rPr>
          <w:rFonts w:ascii="Times New Roman" w:hAnsi="Times New Roman"/>
          <w:b w:val="false"/>
          <w:i w:val="false"/>
          <w:color w:val="000000"/>
          <w:sz w:val="24"/>
        </w:rPr>
        <w:t>(421,428,441).</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3">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54">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55">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701—102.3</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Valuation of agricultural real estate. </w:t>
      </w:r>
      <w:r>
        <w:rPr>
          <w:rFonts w:ascii="Times New Roman" w:hAnsi="Times New Roman"/>
          <w:b w:val="false"/>
          <w:i w:val="false"/>
          <w:color w:val="000000"/>
          <w:sz w:val="24"/>
        </w:rPr>
        <w:t xml:space="preserve">Agricultural real estate shall be assessed at its actual value as defined in Iowa Code section </w:t>
      </w:r>
      <w:hyperlink r:id="rId56">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by giving exclusive consideration to its productivity and net earning capacity. In determining the actual value of agricultural real estate, city and county assessors shall use the Iowa Real Property Appraisal Manual and any other guidelines issued by the department pursuant to Iowa Code section </w:t>
      </w:r>
      <w:hyperlink r:id="rId57">
        <w:r>
          <w:rPr>
            <w:rStyle w:val="Hyperlink"/>
            <w:rFonts w:ascii="Times New Roman" w:hAnsi="Times New Roman"/>
            <w:b w:val="false"/>
            <w:i w:val="false"/>
            <w:color w:val="000000"/>
            <w:sz w:val="24"/>
          </w:rPr>
          <w:t>421.17(17)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102.3(1)</w:t>
      </w:r>
      <w:r>
        <w:rPr>
          <w:rFonts w:ascii="Times New Roman" w:hAnsi="Times New Roman"/>
          <w:b w:val="false"/>
          <w:i w:val="false"/>
          <w:color w:val="000000"/>
          <w:sz w:val="24"/>
        </w:rPr>
        <w:t> </w:t>
      </w:r>
      <w:r>
        <w:rPr>
          <w:rFonts w:ascii="Times New Roman" w:hAnsi="Times New Roman"/>
          <w:b w:val="false"/>
          <w:i/>
          <w:color w:val="000000"/>
          <w:sz w:val="24"/>
        </w:rPr>
        <w:t xml:space="preserve">Productivity.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the productivity and net earning capacity of agricultural real estate, the assessor shall also use available data from Iowa State University, the United States Department of Agriculture (USDA) National Agricultural Statistics Service (NASS), the USDA Farm Service Agency (FSA), the department, or other reliable sources. The assessor shall also consider the results of a modern soil survey, if completed. The assessor shall determine the actual valuation of agricultural real estate within the assessing jurisdiction and distribute such valuation throughout the jurisdiction so that each parcel of real estate is assessed at its actual value as defined in Iowa Code section </w:t>
      </w:r>
      <w:hyperlink r:id="rId58">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distributing such valuation to each parcel under paragraph </w:t>
      </w:r>
      <w:hyperlink r:id="rId59">
        <w:r>
          <w:rPr>
            <w:rStyle w:val="Hyperlink"/>
            <w:rFonts w:ascii="Times New Roman" w:hAnsi="Times New Roman"/>
            <w:b w:val="false"/>
            <w:i w:val="false"/>
            <w:color w:val="000000"/>
            <w:sz w:val="24"/>
          </w:rPr>
          <w:t>102.3(1)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assessor shall adjust non-cropland. The adjustment shall be applied to non-cropland with a corn suitability rating (CSR) that is greater than 50 percent of the average CSR for cropland for the county. The adjustment shall be determined for each county based upon the five-year average difference in cash rent between non-irrigated cropland and pasture land as published by NASS. The assessor may utilize the USDA FSA-published Common Land Unit digital data or other reliable sources in determining non-cropland. </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EXAMPLE.</w:t>
      </w:r>
      <w:r>
        <w:rPr>
          <w:rFonts w:ascii="Times New Roman" w:hAnsi="Times New Roman"/>
          <w:b w:val="false"/>
          <w:i w:val="false"/>
          <w:color w:val="000000"/>
          <w:sz w:val="24"/>
        </w:rPr>
        <w:t xml:space="preserve"> The following is an example of the calculation used to compute adjustment on land determined to be non-cropland with a CSR that is greater than 50 percent of the average CSR for cropland for the county:</w:t>
      </w:r>
    </w:p>
    <w:tbl>
      <w:tblPr>
        <w:tblW w:w="0" w:type="auto"/>
        <w:tblCellSpacing w:w="0" w:type="auto"/>
        <w:tblBorders>
          <w:top w:val="none"/>
          <w:left w:val="none"/>
          <w:bottom w:val="none"/>
          <w:right w:val="none"/>
          <w:insideH w:val="none"/>
          <w:insideV w:val="none"/>
        </w:tblBorders>
        <w:tblLayout w:type="fixed"/>
      </w:tblPr>
      <w:tblGrid>
        <w:gridCol w:w="5776"/>
        <w:gridCol w:w="5488"/>
      </w:tblGrid>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Average county CSR rating for cropland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 CSR</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 of average cropland CSR</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 CSR</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 of non-cropland soil 11b CSR rating</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 CSR</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Non-cropland CSR points to be adjusted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58 - 40 = 18 CSR points</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Five-year average rent for non-irrigated cropland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$163.60</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Five-year average rent for pasture land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$48.30</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Percent difference (rounded)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($48.30/$163.60) = 70%</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Apply the percent difference to points to be adjusted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CSR points × (1 -.70) = 5.40 adjusted CSR points</w:t>
            </w:r>
          </w:p>
        </w:tc>
      </w:tr>
      <w:tr>
        <w:trPr>
          <w:trHeight w:val="180" w:hRule="atLeast"/>
        </w:trPr>
        <w:tc>
          <w:tcPr>
            <w:tcW w:w="57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Adjusted CSR non-cropland</w:t>
            </w:r>
          </w:p>
        </w:tc>
        <w:tc>
          <w:tcPr>
            <w:tcW w:w="54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 + 5.40 = 45.40 adjusted CSR points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102.3(2)</w:t>
      </w:r>
      <w:r>
        <w:rPr>
          <w:rFonts w:ascii="Times New Roman" w:hAnsi="Times New Roman"/>
          <w:b w:val="false"/>
          <w:i w:val="false"/>
          <w:color w:val="000000"/>
          <w:sz w:val="24"/>
        </w:rPr>
        <w:t> </w:t>
      </w:r>
      <w:r>
        <w:rPr>
          <w:rFonts w:ascii="Times New Roman" w:hAnsi="Times New Roman"/>
          <w:b w:val="false"/>
          <w:i/>
          <w:color w:val="000000"/>
          <w:sz w:val="24"/>
        </w:rPr>
        <w:t xml:space="preserve">Agricultural factor. </w:t>
      </w:r>
      <w:r>
        <w:rPr>
          <w:rFonts w:ascii="Times New Roman" w:hAnsi="Times New Roman"/>
          <w:b w:val="false"/>
          <w:i w:val="false"/>
          <w:color w:val="000000"/>
          <w:sz w:val="24"/>
        </w:rPr>
        <w:t xml:space="preserve">In order to determine a productivity value for agricultural buildings and structures, assessors must make an agricultural adjustment to the market value of these buildings and structures by developing an agricultural factor for the assessors’ jurisdictions. The agricultural factor for each jurisdiction is the product of the ratio of the productivity and net earning capacity value per acre as determined under subrule </w:t>
      </w:r>
      <w:hyperlink r:id="rId60">
        <w:r>
          <w:rPr>
            <w:rStyle w:val="Hyperlink"/>
            <w:rFonts w:ascii="Times New Roman" w:hAnsi="Times New Roman"/>
            <w:b w:val="false"/>
            <w:i w:val="false"/>
            <w:color w:val="000000"/>
            <w:sz w:val="24"/>
          </w:rPr>
          <w:t>102.11(1)</w:t>
        </w:r>
      </w:hyperlink>
      <w:r>
        <w:rPr>
          <w:rFonts w:ascii="Times New Roman" w:hAnsi="Times New Roman"/>
          <w:b w:val="false"/>
          <w:i w:val="false"/>
          <w:color w:val="000000"/>
          <w:sz w:val="24"/>
        </w:rPr>
        <w:t xml:space="preserve"> over the market value of agricultural land within the assessing jurisdiction. The resulting ratio is then applied to the actual value of the agricultural buildings and structures as determined under the Iowa Real Property Appraisal Manual prepared by the department. The agricultural factor must be applied uniformly to all agricultural buildings and structures in the assessing jurisdiction.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If a building’s actual value is $500,000 and the agricultural factor is 30 percent, the productivity value of that building is $150,000. A five-year market value average of land for years used to determine the productivity formula will be used to determine the agricultural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102.3(3)</w:t>
      </w:r>
      <w:r>
        <w:rPr>
          <w:rFonts w:ascii="Times New Roman" w:hAnsi="Times New Roman"/>
          <w:b w:val="false"/>
          <w:i w:val="false"/>
          <w:color w:val="000000"/>
          <w:sz w:val="24"/>
        </w:rPr>
        <w:t> </w:t>
      </w:r>
      <w:r>
        <w:rPr>
          <w:rFonts w:ascii="Times New Roman" w:hAnsi="Times New Roman"/>
          <w:b w:val="false"/>
          <w:i/>
          <w:color w:val="000000"/>
          <w:sz w:val="24"/>
        </w:rPr>
        <w:t xml:space="preserve">Classification. </w:t>
      </w:r>
      <w:r>
        <w:rPr>
          <w:rFonts w:ascii="Times New Roman" w:hAnsi="Times New Roman"/>
          <w:b w:val="false"/>
          <w:i w:val="false"/>
          <w:color w:val="000000"/>
          <w:sz w:val="24"/>
        </w:rPr>
        <w:t xml:space="preserve">Land classified as agricultural real estate includes the land beneath any dwelling and appurtenant structures located on that land and shall be valued by the assessor pursuant to rule </w:t>
      </w:r>
      <w:hyperlink r:id="rId61">
        <w:r>
          <w:rPr>
            <w:rStyle w:val="Hyperlink"/>
            <w:rFonts w:ascii="Times New Roman" w:hAnsi="Times New Roman"/>
            <w:b w:val="false"/>
            <w:i w:val="false"/>
            <w:color w:val="000000"/>
            <w:sz w:val="24"/>
          </w:rPr>
          <w:t>701—102.3</w:t>
        </w:r>
      </w:hyperlink>
      <w:r>
        <w:rPr>
          <w:rFonts w:ascii="Times New Roman" w:hAnsi="Times New Roman"/>
          <w:b w:val="false"/>
          <w:i w:val="false"/>
          <w:color w:val="000000"/>
          <w:sz w:val="24"/>
        </w:rPr>
        <w:t>(421,428,441). An assessor shall not value a part of the land as agricultural real estate and a part of the land as if it is residential real estate.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2">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701—102.4</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Valuation of residential real estate. </w:t>
      </w:r>
      <w:r>
        <w:rPr>
          <w:rFonts w:ascii="Times New Roman" w:hAnsi="Times New Roman"/>
          <w:b w:val="false"/>
          <w:i w:val="false"/>
          <w:color w:val="000000"/>
          <w:sz w:val="24"/>
        </w:rPr>
        <w:t xml:space="preserve">Residential real estate shall be assessed at its actual value as defined in Iowa Code section </w:t>
      </w:r>
      <w:hyperlink r:id="rId65">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In determining the actual value of residential real estate, city and county assessors shall use the Iowa Real Property Appraisal Manual issued by the department pursuant to Iowa Code section </w:t>
      </w:r>
      <w:hyperlink r:id="rId66">
        <w:r>
          <w:rPr>
            <w:rStyle w:val="Hyperlink"/>
            <w:rFonts w:ascii="Times New Roman" w:hAnsi="Times New Roman"/>
            <w:b w:val="false"/>
            <w:i w:val="false"/>
            <w:color w:val="000000"/>
            <w:sz w:val="24"/>
          </w:rPr>
          <w:t>421.17(17)</w:t>
        </w:r>
      </w:hyperlink>
      <w:r>
        <w:rPr>
          <w:rFonts w:ascii="Times New Roman" w:hAnsi="Times New Roman"/>
          <w:b w:val="false"/>
          <w:i w:val="false"/>
          <w:color w:val="000000"/>
          <w:sz w:val="24"/>
        </w:rPr>
        <w:t xml:space="preserve"> as well as a locally conducted assessment/sales ratio study, an analysis of sales of comparable properties, and any other relevant data available.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7">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701—102.5</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Valuation of commercial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102.5(1)</w:t>
      </w:r>
      <w:r>
        <w:rPr>
          <w:rFonts w:ascii="Times New Roman" w:hAnsi="Times New Roman"/>
          <w:b w:val="false"/>
          <w:i w:val="false"/>
          <w:color w:val="000000"/>
          <w:sz w:val="24"/>
        </w:rPr>
        <w:t> </w:t>
      </w:r>
      <w:r>
        <w:rPr>
          <w:rFonts w:ascii="Times New Roman" w:hAnsi="Times New Roman"/>
          <w:b w:val="false"/>
          <w:i/>
          <w:color w:val="000000"/>
          <w:sz w:val="24"/>
        </w:rPr>
        <w:t xml:space="preserve">Actual value. </w:t>
      </w:r>
      <w:r>
        <w:rPr>
          <w:rFonts w:ascii="Times New Roman" w:hAnsi="Times New Roman"/>
          <w:b w:val="false"/>
          <w:i w:val="false"/>
          <w:color w:val="000000"/>
          <w:sz w:val="24"/>
        </w:rPr>
        <w:t xml:space="preserve">Commercial real estate shall be assessed at its actual value as defined in Iowa Code section </w:t>
      </w:r>
      <w:hyperlink r:id="rId70">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In determining the actual value of commercial real estate, city and county assessors shall use the Iowa Real Property Appraisal Manual issued by the department pursuant to Iowa Code section </w:t>
      </w:r>
      <w:hyperlink r:id="rId71">
        <w:r>
          <w:rPr>
            <w:rStyle w:val="Hyperlink"/>
            <w:rFonts w:ascii="Times New Roman" w:hAnsi="Times New Roman"/>
            <w:b w:val="false"/>
            <w:i w:val="false"/>
            <w:color w:val="000000"/>
            <w:sz w:val="24"/>
          </w:rPr>
          <w:t>421.17(17)</w:t>
        </w:r>
      </w:hyperlink>
      <w:r>
        <w:rPr>
          <w:rFonts w:ascii="Times New Roman" w:hAnsi="Times New Roman"/>
          <w:b w:val="false"/>
          <w:i w:val="false"/>
          <w:color w:val="000000"/>
          <w:sz w:val="24"/>
        </w:rPr>
        <w:t xml:space="preserve"> as well as a locally conducted assessment/sales ratio study, an analysis of sales of comparable properties, and any other relevant data available. In cases involving the valuation of owner-occupied commercial property, the data relating to the financial performance of the owner or the owner’s business, including but not limited to its sales, revenue, expenses, or profits, shall not be considered relevant in determining the property’s actual value.</w:t>
      </w:r>
    </w:p>
    <w:p>
      <w:pPr>
        <w:spacing w:before="0" w:after="0" w:line="480"/>
        <w:ind w:left="120"/>
        <w:jc w:val="both"/>
      </w:pPr>
      <w:r>
        <w:rPr>
          <w:rFonts w:ascii="Times New Roman" w:hAnsi="Times New Roman"/>
          <w:b/>
          <w:i w:val="false"/>
          <w:color w:val="000000"/>
          <w:sz w:val="24"/>
        </w:rPr>
        <w:t>102.5(2)</w:t>
      </w:r>
      <w:r>
        <w:rPr>
          <w:rFonts w:ascii="Times New Roman" w:hAnsi="Times New Roman"/>
          <w:b w:val="false"/>
          <w:i w:val="false"/>
          <w:color w:val="000000"/>
          <w:sz w:val="24"/>
        </w:rPr>
        <w:t> </w:t>
      </w:r>
      <w:r>
        <w:rPr>
          <w:rFonts w:ascii="Times New Roman" w:hAnsi="Times New Roman"/>
          <w:b w:val="false"/>
          <w:i/>
          <w:color w:val="000000"/>
          <w:sz w:val="24"/>
        </w:rPr>
        <w:t xml:space="preserve">Low-income housing subject to IRC Section 42.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Productive and earning capacity. </w:t>
      </w:r>
      <w:r>
        <w:rPr>
          <w:rFonts w:ascii="Times New Roman" w:hAnsi="Times New Roman"/>
          <w:b w:val="false"/>
          <w:i w:val="false"/>
          <w:color w:val="000000"/>
          <w:sz w:val="24"/>
        </w:rPr>
        <w:t>In assessing property that is rented or leased to low-income individuals and families as authorized by IRC Section 42, which limits the amount that the individual or family pays for the rental or lease of units in the property, the assessor shall use the productive and earning capacity from the actual rents received as a method of appraisal and shall take into account the extent to which that use and limitation reduces the market value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Direct capitalization method.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income approach to valuation shall be applied using the direct capitalization method. The assessor may use the discounted cash flow method as a test of the reasonableness of the results produced by the direct capitalization method. The direct capitalization method of the income approach involves dividing the Net Operating Income (NOI) on a cash basis by an overall capitalization rate to derive an indication of the value of the property for the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applying the direct capitalization method, the assessor shall develop a normalized measure of annual NOI based on the productive and earning capacity of the development utilizing: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actual rent schedule applicable for each of the available units as of January 1 of the year of assessment indicating the actual rent to be paid by the resident plus any Section 8 rental assistance or other direct cash rental subsidy provided to the resident by federal, state or local rent subsidy programs as limited pursuant to IRC Section 42;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normal vacancy/collection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prior year’s actual and current year’s projected annual operating expenses associated with the property, excluding noncash items such as depreciation and amortization but including property taxes and those actual costs expected to be incurred and paid as required by IRC Section 42 regulations, provisions, and restrictions as applicable to the assessment year;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appropriate provision for replacement reserves.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no separate line item is included for reserves for replacement in the historic income and expense data, then the maintenance and repair categories of the historic expense data must be itemized. For properties that have attained a normalized operating history, the NOI results of the prior three years (as represented in the statements variously named as the Income and Loss Statement, the Profit and Loss Statement, the Income Statement, the Actual to Budget Comparison Statement, Balance Sheet, or some name variation of these) may be used to provide the basis for determining the normalized NOI used for purposes of applying the direct capitalization method for the year of assessment, provided an appropriate replacement reserve is included in the NOI determination and provided any additional costs required as a result of Section 42 regulation or compliance changes for the assessment year are included as an operating expense in the NOI determination. In addition, the assessor may utilize the current year operating budget to develop a measure of NOI for the assessment year. The assessor, in developing the measure of annual NOI on a cash basis, shall not consider as income any potential rental income differential that could otherwise be received from the property if the rents were not limited pursuant to IRC Section 42, any tax credit equity, any tax credit value, or other subsidized financing.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Filing of reports. </w:t>
      </w:r>
      <w:r>
        <w:rPr>
          <w:rFonts w:ascii="Times New Roman" w:hAnsi="Times New Roman"/>
          <w:b w:val="false"/>
          <w:i w:val="false"/>
          <w:color w:val="000000"/>
          <w:sz w:val="24"/>
        </w:rPr>
        <w:t>It is the responsibility of the property owner to file income and expense data with the local assessor by March 1 of each year. The assessor may require the filing of additional information if deemed necessary.</w:t>
      </w:r>
    </w:p>
    <w:p>
      <w:pPr>
        <w:spacing w:before="0" w:after="0" w:line="480"/>
        <w:ind w:left="120"/>
        <w:jc w:val="both"/>
      </w:pP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Capitalization rate. </w:t>
      </w:r>
      <w:r>
        <w:rPr>
          <w:rFonts w:ascii="Times New Roman" w:hAnsi="Times New Roman"/>
          <w:b w:val="false"/>
          <w:i w:val="false"/>
          <w:color w:val="000000"/>
          <w:sz w:val="24"/>
        </w:rPr>
        <w:t>The overall capitalization rate to be used in applying the direct capitalization method for a Section 42 property is developed through the band-of-investment technique. The capitalization rate will be calculated annually by the department and distributed to all Iowa assessors by March 1. The capitalization rate is a composite rate weighted by the proportions of total property investment represented by debt and equity. The capital structure weighs equity at 80 percent and debt at 20 percent unless actual market capital structure can be verified to the assessor. The yield, or market rate of return, for equity is calculated using the capital asset pricing model (CAPM). The yield for debt is equivalent to the average yield on 20-year Treasury bonds referred to as the Treasury long-term average rate. An example of the band-of-investment technique to be utilized is as follows:</w:t>
      </w:r>
    </w:p>
    <w:tbl>
      <w:tblPr>
        <w:tblW w:w="0" w:type="auto"/>
        <w:tblCellSpacing w:w="0" w:type="auto"/>
        <w:tblBorders>
          <w:top w:val="none"/>
          <w:left w:val="none"/>
          <w:bottom w:val="none"/>
          <w:right w:val="none"/>
          <w:insideH w:val="none"/>
          <w:insideV w:val="none"/>
        </w:tblBorders>
        <w:tblLayout w:type="fixed"/>
      </w:tblPr>
      <w:tblGrid>
        <w:gridCol w:w="1540"/>
        <w:gridCol w:w="734"/>
        <w:gridCol w:w="1060"/>
        <w:gridCol w:w="1492"/>
        <w:gridCol w:w="734"/>
        <w:gridCol w:w="734"/>
        <w:gridCol w:w="1684"/>
        <w:gridCol w:w="734"/>
        <w:gridCol w:w="868"/>
        <w:gridCol w:w="1684"/>
      </w:tblGrid>
      <w:tr>
        <w:trPr>
          <w:trHeight w:val="195" w:hRule="atLeast"/>
        </w:trPr>
        <w:tc>
          <w:tcPr>
            <w:tcW w:w="15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to Total</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Yield</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Composite</w:t>
            </w:r>
          </w:p>
        </w:tc>
      </w:tr>
      <w:tr>
        <w:trPr>
          <w:trHeight w:val="195" w:hRule="atLeast"/>
        </w:trPr>
        <w:tc>
          <w:tcPr>
            <w:tcW w:w="1540"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Equity</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80%</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11.05%</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8.84%</w:t>
            </w:r>
          </w:p>
        </w:tc>
      </w:tr>
      <w:tr>
        <w:trPr>
          <w:trHeight w:val="285" w:hRule="atLeast"/>
        </w:trPr>
        <w:tc>
          <w:tcPr>
            <w:tcW w:w="0" w:type="auto"/>
            <w:gridSpan w:val="10"/>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40"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Debt</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20%</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5.94%</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1.19%</w:t>
            </w:r>
          </w:p>
        </w:tc>
      </w:tr>
      <w:tr>
        <w:trPr>
          <w:trHeight w:val="195" w:hRule="atLeast"/>
        </w:trPr>
        <w:tc>
          <w:tcPr>
            <w:tcW w:w="15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100%</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center"/>
          </w:tcPr>
          <w:p>
            <w:pPr>
              <w:spacing w:before="0" w:after="0" w:line="264"/>
              <w:ind w:left="160"/>
              <w:jc w:val="right"/>
            </w:pPr>
            <w:r>
              <w:rPr>
                <w:rFonts w:ascii="Times New Roman" w:hAnsi="Times New Roman"/>
                <w:b w:val="false"/>
                <w:i w:val="false"/>
                <w:color w:val="000000"/>
                <w:sz w:val="14"/>
              </w:rPr>
              <w:t>10.03%</w:t>
            </w:r>
          </w:p>
        </w:tc>
      </w:tr>
    </w:tbl>
    <w:p>
      <w:pPr>
        <w:spacing w:before="0" w:after="0" w:line="480"/>
        <w:ind w:left="120"/>
        <w:jc w:val="both"/>
      </w:pP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Capital asset pricing model. </w:t>
      </w:r>
      <w:r>
        <w:rPr>
          <w:rFonts w:ascii="Times New Roman" w:hAnsi="Times New Roman"/>
          <w:b w:val="false"/>
          <w:i w:val="false"/>
          <w:color w:val="000000"/>
          <w:sz w:val="24"/>
        </w:rPr>
        <w:t>CAPM is utilized to develop the equity rate. The formula is:</w:t>
      </w:r>
      <w:r>
        <w:br/>
      </w:r>
      <w:r>
        <w:rPr>
          <w:rFonts w:ascii="Times New Roman" w:hAnsi="Times New Roman"/>
          <w:b w:val="false"/>
          <w:i w:val="false"/>
          <w:color w:val="000000"/>
          <w:sz w:val="24"/>
        </w:rPr>
        <w:t>Re = B (Rm - Rf) + Rf</w:t>
      </w:r>
    </w:p>
    <w:tbl>
      <w:tblPr>
        <w:tblW w:w="0" w:type="auto"/>
        <w:tblCellSpacing w:w="0" w:type="auto"/>
        <w:tblBorders>
          <w:top w:val="none"/>
          <w:left w:val="none"/>
          <w:bottom w:val="none"/>
          <w:right w:val="none"/>
          <w:insideH w:val="none"/>
          <w:insideV w:val="none"/>
        </w:tblBorders>
        <w:tblLayout w:type="fixed"/>
      </w:tblPr>
      <w:tblGrid>
        <w:gridCol w:w="2864"/>
        <w:gridCol w:w="2576"/>
        <w:gridCol w:w="1808"/>
        <w:gridCol w:w="4016"/>
      </w:tblGrid>
      <w:tr>
        <w:trPr>
          <w:trHeight w:val="180" w:hRule="atLeast"/>
        </w:trPr>
        <w:tc>
          <w:tcPr>
            <w:tcW w:w="2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 (Rm - Rf) + Rf</w:t>
            </w:r>
          </w:p>
        </w:tc>
      </w:tr>
      <w:tr>
        <w:trPr>
          <w:trHeight w:val="180" w:hRule="atLeast"/>
        </w:trPr>
        <w:tc>
          <w:tcPr>
            <w:tcW w:w="286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Where:</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return on equity</w:t>
            </w:r>
          </w:p>
        </w:tc>
      </w:tr>
      <w:tr>
        <w:trPr>
          <w:trHeight w:val="180" w:hRule="atLeast"/>
        </w:trPr>
        <w:tc>
          <w:tcPr>
            <w:tcW w:w="2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beta</w:t>
            </w:r>
          </w:p>
        </w:tc>
      </w:tr>
      <w:tr>
        <w:trPr>
          <w:trHeight w:val="180" w:hRule="atLeast"/>
        </w:trPr>
        <w:tc>
          <w:tcPr>
            <w:tcW w:w="2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Rm</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return on the market</w:t>
            </w:r>
          </w:p>
        </w:tc>
      </w:tr>
      <w:tr>
        <w:trPr>
          <w:trHeight w:val="180" w:hRule="atLeast"/>
        </w:trPr>
        <w:tc>
          <w:tcPr>
            <w:tcW w:w="2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risk-free rate of return</w:t>
            </w:r>
          </w:p>
        </w:tc>
      </w:tr>
      <w:tr>
        <w:trPr>
          <w:trHeight w:val="180" w:hRule="atLeast"/>
        </w:trPr>
        <w:tc>
          <w:tcPr>
            <w:tcW w:w="2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Rm - Rf</w:t>
            </w:r>
          </w:p>
        </w:tc>
        <w:tc>
          <w:tcPr>
            <w:tcW w:w="18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40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market-risk premium</w:t>
            </w:r>
          </w:p>
        </w:tc>
      </w:tr>
    </w:tbl>
    <w:p>
      <w:pPr>
        <w:spacing w:before="0" w:after="0" w:line="480"/>
        <w:ind w:left="120"/>
        <w:jc w:val="both"/>
      </w:pPr>
      <w:r>
        <w:rPr>
          <w:rFonts w:ascii="Times New Roman" w:hAnsi="Times New Roman"/>
          <w:b w:val="false"/>
          <w:i w:val="false"/>
          <w:color w:val="000000"/>
          <w:sz w:val="24"/>
        </w:rPr>
        <w:t>The beta is assumed to be 1, which indicates the risk level to be consistent with the market as a whole. The risk-free rate is calculated by finding the average of the three-month and six-month Treasury bill. The return on the market is calculated by taking the average of the return on the market for the Bank of America Universe and Standard and Poor’s 500 or by reference to other published secondary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Properties under construction. </w:t>
      </w:r>
      <w:r>
        <w:rPr>
          <w:rFonts w:ascii="Times New Roman" w:hAnsi="Times New Roman"/>
          <w:b w:val="false"/>
          <w:i w:val="false"/>
          <w:color w:val="000000"/>
          <w:sz w:val="24"/>
        </w:rPr>
        <w:t>For Section 42 properties under construction, the assessor may value the property by applying the percentage of completion to the replacement cost new (RCN) as calculated from the Iowa Real Property Appraisal Manual and adding the fair market value of the land. Alternatively, projected income and expense data may be utilized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Negative or minimal NOI. </w:t>
      </w:r>
      <w:r>
        <w:rPr>
          <w:rFonts w:ascii="Times New Roman" w:hAnsi="Times New Roman"/>
          <w:b w:val="false"/>
          <w:i w:val="false"/>
          <w:color w:val="000000"/>
          <w:sz w:val="24"/>
        </w:rPr>
        <w:t>If the Section 42 property shows a negative or minimal net operating income (NOI), the indicator of value as set forth in these rules shall not be utilized.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2">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73">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w:t>
      </w:r>
      <w:hyperlink r:id="rId74">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701—102.6</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Valuation of industrial land and buildings. </w:t>
      </w:r>
      <w:r>
        <w:rPr>
          <w:rFonts w:ascii="Times New Roman" w:hAnsi="Times New Roman"/>
          <w:b w:val="false"/>
          <w:i w:val="false"/>
          <w:color w:val="000000"/>
          <w:sz w:val="24"/>
        </w:rPr>
        <w:t xml:space="preserve">Industrial real estate shall be assessed at its actual value as defined in Iowa Code section </w:t>
      </w:r>
      <w:hyperlink r:id="rId75">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In determining the actual value of industrial land and buildings, city and county assessors shall use the Iowa Real Property Appraisal Manual issued by the department pursuant to Iowa Code section </w:t>
      </w:r>
      <w:hyperlink r:id="rId76">
        <w:r>
          <w:rPr>
            <w:rStyle w:val="Hyperlink"/>
            <w:rFonts w:ascii="Times New Roman" w:hAnsi="Times New Roman"/>
            <w:b w:val="false"/>
            <w:i w:val="false"/>
            <w:color w:val="000000"/>
            <w:sz w:val="24"/>
          </w:rPr>
          <w:t>421.17(17)</w:t>
        </w:r>
      </w:hyperlink>
      <w:r>
        <w:rPr>
          <w:rFonts w:ascii="Times New Roman" w:hAnsi="Times New Roman"/>
          <w:b w:val="false"/>
          <w:i w:val="false"/>
          <w:color w:val="000000"/>
          <w:sz w:val="24"/>
        </w:rPr>
        <w:t>, and any other relevant data available.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7">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78">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79">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701—102.7</w:t>
      </w:r>
      <w:r>
        <w:rPr>
          <w:rFonts w:ascii="Times New Roman" w:hAnsi="Times New Roman"/>
          <w:b/>
          <w:i w:val="false"/>
          <w:color w:val="000000"/>
          <w:sz w:val="24"/>
        </w:rPr>
        <w:t xml:space="preserve">(428,441) </w:t>
      </w:r>
      <w:r>
        <w:rPr>
          <w:rFonts w:ascii="Times New Roman" w:hAnsi="Times New Roman"/>
          <w:b/>
          <w:i w:val="false"/>
          <w:color w:val="000000"/>
          <w:sz w:val="24"/>
        </w:rPr>
        <w:t xml:space="preserve">Abstract of assessment. </w:t>
      </w:r>
      <w:r>
        <w:rPr>
          <w:rFonts w:ascii="Times New Roman" w:hAnsi="Times New Roman"/>
          <w:b w:val="false"/>
          <w:i w:val="false"/>
          <w:color w:val="000000"/>
          <w:sz w:val="24"/>
        </w:rPr>
        <w:t xml:space="preserve">Each city and county assessor shall submit annually to the department at the times specified in Iowa Code section </w:t>
      </w:r>
      <w:hyperlink r:id="rId80">
        <w:r>
          <w:rPr>
            <w:rStyle w:val="Hyperlink"/>
            <w:rFonts w:ascii="Times New Roman" w:hAnsi="Times New Roman"/>
            <w:b w:val="false"/>
            <w:i w:val="false"/>
            <w:color w:val="000000"/>
            <w:sz w:val="24"/>
          </w:rPr>
          <w:t>441.45</w:t>
        </w:r>
      </w:hyperlink>
      <w:r>
        <w:rPr>
          <w:rFonts w:ascii="Times New Roman" w:hAnsi="Times New Roman"/>
          <w:b w:val="false"/>
          <w:i w:val="false"/>
          <w:color w:val="000000"/>
          <w:sz w:val="24"/>
        </w:rPr>
        <w:t xml:space="preserve"> an abstract of assessment for the current year. The assessor shall use the form of abstract prescribed and furnished by the department and shall enter on the abstract all information required by the department. However, the department may approve the use of a computer-prepared abstract if the data is in essentially the same format as on the form prescribed by the department. The information entered on the abstract of assessment shall be reviewed and considered by the department in equalizing the valuations of classes of properties.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1">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82">
        <w:r>
          <w:rPr>
            <w:rStyle w:val="Hyperlink"/>
            <w:rFonts w:ascii="Times New Roman" w:hAnsi="Times New Roman"/>
            <w:b w:val="false"/>
            <w:i w:val="false"/>
            <w:color w:val="000000"/>
            <w:sz w:val="24"/>
          </w:rPr>
          <w:t>441.45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701—102.8</w:t>
      </w:r>
      <w:r>
        <w:rPr>
          <w:rFonts w:ascii="Times New Roman" w:hAnsi="Times New Roman"/>
          <w:b/>
          <w:i w:val="false"/>
          <w:color w:val="000000"/>
          <w:sz w:val="24"/>
        </w:rPr>
        <w:t xml:space="preserve">(428,441) </w:t>
      </w:r>
      <w:r>
        <w:rPr>
          <w:rFonts w:ascii="Times New Roman" w:hAnsi="Times New Roman"/>
          <w:b/>
          <w:i w:val="false"/>
          <w:color w:val="000000"/>
          <w:sz w:val="24"/>
        </w:rPr>
        <w:t xml:space="preserve">Reconciliation report. </w:t>
      </w:r>
      <w:r>
        <w:rPr>
          <w:rFonts w:ascii="Times New Roman" w:hAnsi="Times New Roman"/>
          <w:b w:val="false"/>
          <w:i w:val="false"/>
          <w:color w:val="000000"/>
          <w:sz w:val="24"/>
        </w:rPr>
        <w:t xml:space="preserve">The assessor’s report of any revaluation required by Iowa Code section </w:t>
      </w:r>
      <w:hyperlink r:id="rId83">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shall be made on the reconciliation report prescribed and furnished by the department. The assessor shall enter on the report all information required by the department. The reconciliation report shall be a part of the abstract of assessment required by Iowa Code section </w:t>
      </w:r>
      <w:hyperlink r:id="rId84">
        <w:r>
          <w:rPr>
            <w:rStyle w:val="Hyperlink"/>
            <w:rFonts w:ascii="Times New Roman" w:hAnsi="Times New Roman"/>
            <w:b w:val="false"/>
            <w:i w:val="false"/>
            <w:color w:val="000000"/>
            <w:sz w:val="24"/>
          </w:rPr>
          <w:t>441.45</w:t>
        </w:r>
      </w:hyperlink>
      <w:r>
        <w:rPr>
          <w:rFonts w:ascii="Times New Roman" w:hAnsi="Times New Roman"/>
          <w:b w:val="false"/>
          <w:i w:val="false"/>
          <w:color w:val="000000"/>
          <w:sz w:val="24"/>
        </w:rPr>
        <w:t xml:space="preserve"> and shall be reviewed and considered by the department in equalizing valuations of classes of property.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5">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86">
        <w:r>
          <w:rPr>
            <w:rStyle w:val="Hyperlink"/>
            <w:rFonts w:ascii="Times New Roman" w:hAnsi="Times New Roman"/>
            <w:b w:val="false"/>
            <w:i w:val="false"/>
            <w:color w:val="000000"/>
            <w:sz w:val="24"/>
          </w:rPr>
          <w:t>441.45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701—102.9</w:t>
      </w:r>
      <w:r>
        <w:rPr>
          <w:rFonts w:ascii="Times New Roman" w:hAnsi="Times New Roman"/>
          <w:b/>
          <w:i w:val="false"/>
          <w:color w:val="000000"/>
          <w:sz w:val="24"/>
        </w:rPr>
        <w:t xml:space="preserve">(421) </w:t>
      </w:r>
      <w:r>
        <w:rPr>
          <w:rFonts w:ascii="Times New Roman" w:hAnsi="Times New Roman"/>
          <w:b/>
          <w:i w:val="false"/>
          <w:color w:val="000000"/>
          <w:sz w:val="24"/>
        </w:rPr>
        <w:t xml:space="preserve">Assessment/sales ratio study.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102.9(1)</w:t>
      </w:r>
      <w:r>
        <w:rPr>
          <w:rFonts w:ascii="Times New Roman" w:hAnsi="Times New Roman"/>
          <w:b w:val="false"/>
          <w:i w:val="false"/>
          <w:color w:val="000000"/>
          <w:sz w:val="24"/>
        </w:rPr>
        <w:t> </w:t>
      </w:r>
      <w:r>
        <w:rPr>
          <w:rFonts w:ascii="Times New Roman" w:hAnsi="Times New Roman"/>
          <w:b w:val="false"/>
          <w:i/>
          <w:color w:val="000000"/>
          <w:sz w:val="24"/>
        </w:rPr>
        <w:t xml:space="preserve">Basic data. </w:t>
      </w:r>
      <w:r>
        <w:rPr>
          <w:rFonts w:ascii="Times New Roman" w:hAnsi="Times New Roman"/>
          <w:b w:val="false"/>
          <w:i w:val="false"/>
          <w:color w:val="000000"/>
          <w:sz w:val="24"/>
        </w:rPr>
        <w:t>Basic data is the data submitted to the department by county recorders and city and county assessors on forms prescribed and provided by the department, information furnished by parties to real estate transactions, and information obtained by field investigations made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102.9(2)</w:t>
      </w:r>
      <w:r>
        <w:rPr>
          <w:rFonts w:ascii="Times New Roman" w:hAnsi="Times New Roman"/>
          <w:b w:val="false"/>
          <w:i w:val="false"/>
          <w:color w:val="000000"/>
          <w:sz w:val="24"/>
        </w:rPr>
        <w:t> </w:t>
      </w:r>
      <w:r>
        <w:rPr>
          <w:rFonts w:ascii="Times New Roman" w:hAnsi="Times New Roman"/>
          <w:b w:val="false"/>
          <w:i/>
          <w:color w:val="000000"/>
          <w:sz w:val="24"/>
        </w:rPr>
        <w:t xml:space="preserve">Responsibility of recorders and assessors. </w:t>
      </w:r>
      <w:r>
        <w:rPr>
          <w:rFonts w:ascii="Times New Roman" w:hAnsi="Times New Roman"/>
          <w:b w:val="false"/>
          <w:i w:val="false"/>
          <w:color w:val="000000"/>
          <w:sz w:val="24"/>
        </w:rPr>
        <w:t xml:space="preserve">County recorders and city and county assessors shall complete the prescribed forms as required by Iowa Code section </w:t>
      </w:r>
      <w:hyperlink r:id="rId87">
        <w:r>
          <w:rPr>
            <w:rStyle w:val="Hyperlink"/>
            <w:rFonts w:ascii="Times New Roman" w:hAnsi="Times New Roman"/>
            <w:b w:val="false"/>
            <w:i w:val="false"/>
            <w:color w:val="000000"/>
            <w:sz w:val="24"/>
          </w:rPr>
          <w:t>421.17(6)</w:t>
        </w:r>
      </w:hyperlink>
      <w:r>
        <w:rPr>
          <w:rFonts w:ascii="Times New Roman" w:hAnsi="Times New Roman"/>
          <w:b w:val="false"/>
          <w:i w:val="false"/>
          <w:color w:val="000000"/>
          <w:sz w:val="24"/>
        </w:rPr>
        <w:t xml:space="preserve"> and rule </w:t>
      </w:r>
      <w:hyperlink r:id="rId88">
        <w:r>
          <w:rPr>
            <w:rStyle w:val="Hyperlink"/>
            <w:rFonts w:ascii="Times New Roman" w:hAnsi="Times New Roman"/>
            <w:b w:val="false"/>
            <w:i w:val="false"/>
            <w:color w:val="000000"/>
            <w:sz w:val="24"/>
          </w:rPr>
          <w:t>701—109.3</w:t>
        </w:r>
      </w:hyperlink>
      <w:r>
        <w:rPr>
          <w:rFonts w:ascii="Times New Roman" w:hAnsi="Times New Roman"/>
          <w:b w:val="false"/>
          <w:i w:val="false"/>
          <w:color w:val="000000"/>
          <w:sz w:val="24"/>
        </w:rPr>
        <w:t>(428A) in accordance with instructions issued by the department. Assessed values entered on the prescribed form shall be those established as of January 1 of the year in which the sale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102.9(3)</w:t>
      </w:r>
      <w:r>
        <w:rPr>
          <w:rFonts w:ascii="Times New Roman" w:hAnsi="Times New Roman"/>
          <w:b w:val="false"/>
          <w:i w:val="false"/>
          <w:color w:val="000000"/>
          <w:sz w:val="24"/>
        </w:rPr>
        <w:t> </w:t>
      </w:r>
      <w:r>
        <w:rPr>
          <w:rFonts w:ascii="Times New Roman" w:hAnsi="Times New Roman"/>
          <w:b w:val="false"/>
          <w:i/>
          <w:color w:val="000000"/>
          <w:sz w:val="24"/>
        </w:rPr>
        <w:t xml:space="preserve">Normal sales. </w:t>
      </w:r>
      <w:r>
        <w:rPr>
          <w:rFonts w:ascii="Times New Roman" w:hAnsi="Times New Roman"/>
          <w:b w:val="false"/>
          <w:i w:val="false"/>
          <w:color w:val="000000"/>
          <w:sz w:val="24"/>
        </w:rPr>
        <w:t xml:space="preserve">All real estate transfers shall be considered by the department to be normal sales unless there exists definite information that would indicate the transfer was not an arms-length transaction or is of an excludable nature as provided in Iowa Code section </w:t>
      </w:r>
      <w:hyperlink r:id="rId89">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0">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701—102.10</w:t>
      </w:r>
      <w:r>
        <w:rPr>
          <w:rFonts w:ascii="Times New Roman" w:hAnsi="Times New Roman"/>
          <w:b/>
          <w:i w:val="false"/>
          <w:color w:val="000000"/>
          <w:sz w:val="24"/>
        </w:rPr>
        <w:t xml:space="preserve">(441) </w:t>
      </w:r>
      <w:r>
        <w:rPr>
          <w:rFonts w:ascii="Times New Roman" w:hAnsi="Times New Roman"/>
          <w:b/>
          <w:i w:val="false"/>
          <w:color w:val="000000"/>
          <w:sz w:val="24"/>
        </w:rPr>
        <w:t xml:space="preserve">Equalization of assessments by class of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102.10(1)</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two years in odd-numbered years, the department shall order the equalization of the levels of assessment of each class of property as provided in rule </w:t>
      </w:r>
      <w:hyperlink r:id="rId91">
        <w:r>
          <w:rPr>
            <w:rStyle w:val="Hyperlink"/>
            <w:rFonts w:ascii="Times New Roman" w:hAnsi="Times New Roman"/>
            <w:b w:val="false"/>
            <w:i w:val="false"/>
            <w:color w:val="000000"/>
            <w:sz w:val="24"/>
          </w:rPr>
          <w:t>701—102.11</w:t>
        </w:r>
      </w:hyperlink>
      <w:r>
        <w:rPr>
          <w:rFonts w:ascii="Times New Roman" w:hAnsi="Times New Roman"/>
          <w:b w:val="false"/>
          <w:i w:val="false"/>
          <w:color w:val="000000"/>
          <w:sz w:val="24"/>
        </w:rPr>
        <w:t xml:space="preserve">(441) by adding to or deducting from the valuation of each class of property, as reported to the department on the abstract of assessment and reconciliation report that is a part of the abstract, the percentage in each case as may be necessary to bring the level of assessment to its actual value as defined in Iowa Code section </w:t>
      </w:r>
      <w:hyperlink r:id="rId92">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Valuation adjustments shall be ordered if the department determines that the aggregate valuation of a class of property as reported on the abstract of assessment submitted by the assessor is at least 5 percent above or below the aggregate valuation for that class of property as determined by the department pursuant to rule </w:t>
      </w:r>
      <w:hyperlink r:id="rId93">
        <w:r>
          <w:rPr>
            <w:rStyle w:val="Hyperlink"/>
            <w:rFonts w:ascii="Times New Roman" w:hAnsi="Times New Roman"/>
            <w:b w:val="false"/>
            <w:i w:val="false"/>
            <w:color w:val="000000"/>
            <w:sz w:val="24"/>
          </w:rPr>
          <w:t>701—102.11</w:t>
        </w:r>
      </w:hyperlink>
      <w:r>
        <w:rPr>
          <w:rFonts w:ascii="Times New Roman" w:hAnsi="Times New Roman"/>
          <w:b w:val="false"/>
          <w:i w:val="false"/>
          <w:color w:val="000000"/>
          <w:sz w:val="24"/>
        </w:rPr>
        <w:t>(441). All classifications of real estate shall be applied uniformly throughout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w:t>
      </w:r>
      <w:r>
        <w:rPr>
          <w:rFonts w:ascii="Times New Roman" w:hAnsi="Times New Roman"/>
          <w:b w:val="false"/>
          <w:i w:val="false"/>
          <w:color w:val="000000"/>
          <w:sz w:val="24"/>
        </w:rPr>
        <w:t> </w:t>
      </w:r>
      <w:r>
        <w:rPr>
          <w:rFonts w:ascii="Times New Roman" w:hAnsi="Times New Roman"/>
          <w:b w:val="false"/>
          <w:i w:val="false"/>
          <w:color w:val="000000"/>
          <w:sz w:val="24"/>
        </w:rPr>
        <w:t>Equalization percentage adjustments.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Equalization percentage adjustments determined for residential realty located outside incorporated areas and not located on agricultural land shall apply to buildings located on agricultural land outside incorporated areas that are primarily used or intended for human habitation as defined in subrule </w:t>
      </w:r>
      <w:hyperlink r:id="rId94">
        <w:r>
          <w:rPr>
            <w:rStyle w:val="Hyperlink"/>
            <w:rFonts w:ascii="Times New Roman" w:hAnsi="Times New Roman"/>
            <w:b w:val="false"/>
            <w:i w:val="false"/>
            <w:color w:val="000000"/>
            <w:sz w:val="24"/>
          </w:rPr>
          <w:t>102.1(4)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Equalization percentage adjustments determined for residential realty located within incorporated cities and not located on agricultural land shall apply to buildings located on agricultural land within incorporated cities that are primarily used or intended for human habitation as defined in subrule </w:t>
      </w:r>
      <w:hyperlink r:id="rId95">
        <w:r>
          <w:rPr>
            <w:rStyle w:val="Hyperlink"/>
            <w:rFonts w:ascii="Times New Roman" w:hAnsi="Times New Roman"/>
            <w:b w:val="false"/>
            <w:i w:val="false"/>
            <w:color w:val="000000"/>
            <w:sz w:val="24"/>
          </w:rPr>
          <w:t>102.1(4)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6">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w:t>
      </w:r>
      <w:hyperlink r:id="rId97">
        <w:r>
          <w:rPr>
            <w:rStyle w:val="Hyperlink"/>
            <w:rFonts w:ascii="Times New Roman" w:hAnsi="Times New Roman"/>
            <w:b w:val="false"/>
            <w:i w:val="false"/>
            <w:color w:val="000000"/>
            <w:sz w:val="24"/>
          </w:rPr>
          <w:t>441.47</w:t>
        </w:r>
      </w:hyperlink>
      <w:r>
        <w:rPr>
          <w:rFonts w:ascii="Times New Roman" w:hAnsi="Times New Roman"/>
          <w:b w:val="false"/>
          <w:i w:val="false"/>
          <w:color w:val="000000"/>
          <w:sz w:val="24"/>
        </w:rPr>
        <w:t xml:space="preserve">, </w:t>
      </w:r>
      <w:hyperlink r:id="rId98">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 xml:space="preserve"> and </w:t>
      </w:r>
      <w:hyperlink r:id="rId99">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701—102.11</w:t>
      </w:r>
      <w:r>
        <w:rPr>
          <w:rFonts w:ascii="Times New Roman" w:hAnsi="Times New Roman"/>
          <w:b/>
          <w:i w:val="false"/>
          <w:color w:val="000000"/>
          <w:sz w:val="24"/>
        </w:rPr>
        <w:t xml:space="preserve">(441) </w:t>
      </w:r>
      <w:r>
        <w:rPr>
          <w:rFonts w:ascii="Times New Roman" w:hAnsi="Times New Roman"/>
          <w:b/>
          <w:i w:val="false"/>
          <w:color w:val="000000"/>
          <w:sz w:val="24"/>
        </w:rPr>
        <w:t xml:space="preserve">Determination of aggregate actual values. </w:t>
      </w:r>
    </w:p>
    <w:p>
      <w:pPr>
        <w:spacing w:before="0" w:after="0" w:line="480"/>
        <w:ind w:left="120"/>
        <w:jc w:val="both"/>
      </w:pPr>
      <w:r>
        <w:rPr>
          <w:rFonts w:ascii="Times New Roman" w:hAnsi="Times New Roman"/>
          <w:b/>
          <w:i w:val="false"/>
          <w:color w:val="000000"/>
          <w:sz w:val="24"/>
        </w:rPr>
        <w:t>102.11(1)</w:t>
      </w:r>
      <w:r>
        <w:rPr>
          <w:rFonts w:ascii="Times New Roman" w:hAnsi="Times New Roman"/>
          <w:b w:val="false"/>
          <w:i w:val="false"/>
          <w:color w:val="000000"/>
          <w:sz w:val="24"/>
        </w:rPr>
        <w:t> </w:t>
      </w:r>
      <w:r>
        <w:rPr>
          <w:rFonts w:ascii="Times New Roman" w:hAnsi="Times New Roman"/>
          <w:b w:val="false"/>
          <w:i/>
          <w:color w:val="000000"/>
          <w:sz w:val="24"/>
        </w:rPr>
        <w:t xml:space="preserve">Agricultural real estate.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Use of income capitalization study. </w:t>
      </w:r>
      <w:r>
        <w:rPr>
          <w:rFonts w:ascii="Times New Roman" w:hAnsi="Times New Roman"/>
          <w:b w:val="false"/>
          <w:i w:val="false"/>
          <w:color w:val="000000"/>
          <w:sz w:val="24"/>
        </w:rPr>
        <w:t>The equalized valuation of agricultural realty shall be based upon its productivity and net earning capacity and shall be determined in accordance with the provisions of this subrule. Data used shall pertain to crops harvested during the five-year period ending with the calendar year in which assessments were last equalized. The equalized valuation of agricultural realty shall be determined for each county as follows:</w:t>
      </w:r>
    </w:p>
    <w:p>
      <w:pPr>
        <w:spacing w:before="0" w:after="0" w:line="480"/>
        <w:ind w:left="120"/>
        <w:jc w:val="both"/>
      </w:pP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Computation of county acres. This information shall be obtained from the USDA NASS. If this information is not available from the USDA NASS, this information shall be obtained from the U.S. Census of Agriculture.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acres in farms: Total acreage used for agricultural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Corn acres: Sum of corn acres harvested, including silage, popcorn, and acres planted for sorghum.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Oats and wheat acres: Sum of oats and wheat acres harvested.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Soybean acres: Soybean acres harvested.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Hay acres: All hay acres harvested.</w:t>
      </w:r>
    </w:p>
    <w:p>
      <w:pPr>
        <w:spacing w:before="0" w:after="0" w:line="480"/>
        <w:ind w:left="120"/>
        <w:jc w:val="both"/>
      </w:pP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Pasture acres: All pasture acres. Total pasture acres shall be determined by multiplying the total acres in farms reported by the USDA NASS by the percentage which total pasture land as reported in the most recent U.S. Census of Agriculture bears to the total acreage in farmland also reported in the most recent U.S. Census of Agriculture. The amount of tillable and nontillable pasture acres shall be determined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88"/>
        <w:gridCol w:w="6080"/>
        <w:gridCol w:w="2048"/>
        <w:gridCol w:w="2048"/>
      </w:tblGrid>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From the most recent U.S. Census of Agriculture obtain the following:</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Cropland used only for pasture and grazing</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acres</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Woodland pasture</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acres</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Pasture land and rangeland (other than cropland and woodland pasture)</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acres</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PASTURE LAND (total of above):</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acres</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08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Determine what percentage of the total pasture land is cropland used only for pasture:</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10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0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60" w:hRule="atLeast"/>
        </w:trPr>
        <w:tc>
          <w:tcPr>
            <w:tcW w:w="108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w:t>
            </w:r>
          </w:p>
        </w:tc>
        <w:tc>
          <w:tcPr>
            <w:tcW w:w="60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Apply the percentage in “2” above to the five-year average total acres of pasture as determined above to determine the pasture acres to be classified as tillable pasture. The remainder of the five-year average shall be classified as nontillable pasture land.</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______</w:t>
            </w:r>
          </w:p>
        </w:tc>
        <w:tc>
          <w:tcPr>
            <w:tcW w:w="20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acres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Government programs: Determine the five-year average acres participating in applicable government programs. Obtain data from the USDA FSA, including but not limited to acreage devoted to the Payment-In-Kind (PIK), diverted and deficiency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acres: The difference between the total acreage for land uses listed above and the total of all land in farms. Add the total of the corn, oats, soybeans, hay, tillable and nontillable pasture and diverted acres. Subtract this total from total acres in farms. The residual is classified as other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Computation of county yields. This information shall be obtained for each county from the USDA NASS. If this information is not available from the USDA NASS Service, this information shall be obtained from the U.S. Census of Agriculture.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Corn yield (including silage): Number of bushels of corn harvested for grain per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Oat yield (including wheat): Number of bushels of oats harvested per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Soybean yield: Number of bushels per acre harvested.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Hay yield in tons: Number of tons per acre harvested.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Computation of county gross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Corn: One-half of the five-year average production multiplied by the five-year average price received for corn.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Silage: One-half of the five-year average number of acres devoted to the production of silage multiplied by the five-year average production per acre for corn. The amount of production so determined shall be added to the five-year average production for corn and included in the determination of the gross income for corn.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Soybeans: One-half of the five-year average production multiplied by the five-year average price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Oats: One-half of the five-year average production of oats and wheat multiplied by the five-year average price received for 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Price adjustment: For corn, soybeans, hay, and oats, the USDA NASS district prices shall be used and shall be adjusted to reflect any individual county price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Government programs: Gross income shall be one-half of the five-year average amount of cash payments or equivalent (such as PIK bushels), including but not limited to diverted, deficiency, and PIK programs as reported by the USDA FSA.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Hay: Gross income shall be a cash rent amount determined by multiplying the five-year average number of acres devoted to hay by the product obtained by multiplying one-fourth of the five-year average hay yield by the five-year average price received for all types of hay.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Tillable pasture: Gross income shall be a cash rent amount determined by multiplying the five-year average number of acres devoted to tillable pasture by the product obtained in “hay”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Nontillable pasture: Gross income shall be a cash rent amount determined by multiplying the five-year average number of acres devoted to nontillable pasture by one-half the product obtained in “hay”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acres: Income shall be the product of the number of other acres multiplied by 17 percent of the net income per acre for all other land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Computation of county production costs. The following data and procedures shall be used to determine specific county production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Basic average landlord production costs. Landlord production costs for corn, soybeans, oats, diverted acres, hay, tillable pasture, nontillable pasture, fertilizer costs, and facilities’ costs shall be obtained for each year from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Production cost adjustment. The production costs for corn, soybeans, oats, and hay are adjusted for each county by multiplying the difference between the five-year state average yield per acre and the five-year county average yield per acre by the five-year average facilities’ costs. If a county’s yield exceeds the state yield, production costs are increased by this amount. If a county’s yield is less than the state yield, production costs are reduced by this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Fertilizer cost adjustment. The adjustment for fertilizer costs is determined as follows: Multiply the difference between the five-year state average corn yield per acre and the five-year county average corn yield per acre obtained from the USDA NASS by the fertilizer cost amount per bushel determined by dividing the statewide average cost of landlord’s share of fertilizer cost per acre from Iowa State University by the statewide average corn yield per acre to produce the corn fertilizer cost per bushel adjustment. This amount is then multiplied by the five-year county average corn acres determined in subparagraph </w:t>
      </w:r>
      <w:hyperlink r:id="rId100">
        <w:r>
          <w:rPr>
            <w:rStyle w:val="Hyperlink"/>
            <w:rFonts w:ascii="Times New Roman" w:hAnsi="Times New Roman"/>
            <w:b w:val="false"/>
            <w:i w:val="false"/>
            <w:color w:val="000000"/>
            <w:sz w:val="24"/>
          </w:rPr>
          <w:t>102.11(1)</w:t>
        </w:r>
      </w:hyperlink>
      <w:r>
        <w:rPr>
          <w:rFonts w:ascii="Times New Roman" w:hAnsi="Times New Roman"/>
          <w:b w:val="false"/>
          <w:i/>
          <w:color w:val="000000"/>
          <w:sz w:val="24"/>
        </w:rPr>
        <w:t>“a”</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Expense adjustments. If a county’s five-year average corn yield is greater than the state five-year average corn yield, this amount is allowed as an additional expense. If the county’s average is less than the state average, this amount is an expense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Liability insurance cost adjustment. The five-year average per acre cost of obtaining tort liability insurance shall be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Computation of county net income. From the total gross income, subtract the total expenses. Divide the resulting total by the total number of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Computation of dwelling adjustment factor. The amount determined in subparagraph </w:t>
      </w:r>
      <w:hyperlink r:id="rId101">
        <w:r>
          <w:rPr>
            <w:rStyle w:val="Hyperlink"/>
            <w:rFonts w:ascii="Times New Roman" w:hAnsi="Times New Roman"/>
            <w:b w:val="false"/>
            <w:i w:val="false"/>
            <w:color w:val="000000"/>
            <w:sz w:val="24"/>
          </w:rPr>
          <w:t>102.11(1)</w:t>
        </w:r>
      </w:hyperlink>
      <w:r>
        <w:rPr>
          <w:rFonts w:ascii="Times New Roman" w:hAnsi="Times New Roman"/>
          <w:b w:val="false"/>
          <w:i/>
          <w:color w:val="000000"/>
          <w:sz w:val="24"/>
        </w:rPr>
        <w:t>“a”</w:t>
      </w:r>
      <w:r>
        <w:rPr>
          <w:rFonts w:ascii="Times New Roman" w:hAnsi="Times New Roman"/>
          <w:b w:val="false"/>
          <w:i w:val="false"/>
          <w:color w:val="000000"/>
          <w:sz w:val="24"/>
        </w:rPr>
        <w:t>(5) above shall be reduced by 10.6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Computation of county tax adjustment. Subtract the five-year average per acre real estate taxes levied for land and structures including drainage and levee district taxes but excluding those levied against agricultural dwellings from the amount determined in subparagraph </w:t>
      </w:r>
      <w:hyperlink r:id="rId102">
        <w:r>
          <w:rPr>
            <w:rStyle w:val="Hyperlink"/>
            <w:rFonts w:ascii="Times New Roman" w:hAnsi="Times New Roman"/>
            <w:b w:val="false"/>
            <w:i w:val="false"/>
            <w:color w:val="000000"/>
            <w:sz w:val="24"/>
          </w:rPr>
          <w:t>102.11(1)</w:t>
        </w:r>
      </w:hyperlink>
      <w:r>
        <w:rPr>
          <w:rFonts w:ascii="Times New Roman" w:hAnsi="Times New Roman"/>
          <w:b w:val="false"/>
          <w:i/>
          <w:color w:val="000000"/>
          <w:sz w:val="24"/>
        </w:rPr>
        <w:t>“a”</w:t>
      </w:r>
      <w:r>
        <w:rPr>
          <w:rFonts w:ascii="Times New Roman" w:hAnsi="Times New Roman"/>
          <w:b w:val="false"/>
          <w:i w:val="false"/>
          <w:color w:val="000000"/>
          <w:sz w:val="24"/>
        </w:rPr>
        <w:t>(6) above. Taxes shall be the tax levied for collection during the five-year period as reported by county auditors, and reduced by the amount of the agricultural land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Calculation of county valuation per acre. Divide the net income per acre (subparagraph </w:t>
      </w:r>
      <w:hyperlink r:id="rId103">
        <w:r>
          <w:rPr>
            <w:rStyle w:val="Hyperlink"/>
            <w:rFonts w:ascii="Times New Roman" w:hAnsi="Times New Roman"/>
            <w:b w:val="false"/>
            <w:i w:val="false"/>
            <w:color w:val="000000"/>
            <w:sz w:val="24"/>
          </w:rPr>
          <w:t>102.11(1)</w:t>
        </w:r>
      </w:hyperlink>
      <w:r>
        <w:rPr>
          <w:rFonts w:ascii="Times New Roman" w:hAnsi="Times New Roman"/>
          <w:b w:val="false"/>
          <w:i/>
          <w:color w:val="000000"/>
          <w:sz w:val="24"/>
        </w:rPr>
        <w:t>“a”</w:t>
      </w:r>
      <w:r>
        <w:rPr>
          <w:rFonts w:ascii="Times New Roman" w:hAnsi="Times New Roman"/>
          <w:b w:val="false"/>
          <w:i w:val="false"/>
          <w:color w:val="000000"/>
          <w:sz w:val="24"/>
        </w:rPr>
        <w:t xml:space="preserve">(7) above) for each county as determined above by the capitalization rate specified in Iowa Code section </w:t>
      </w:r>
      <w:hyperlink r:id="rId104">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The quotient shall be the actual per acre equalized valuation of agricultural land and structures for the current equalization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Use of other relevant data. </w:t>
      </w:r>
      <w:r>
        <w:rPr>
          <w:rFonts w:ascii="Times New Roman" w:hAnsi="Times New Roman"/>
          <w:b w:val="false"/>
          <w:i w:val="false"/>
          <w:color w:val="000000"/>
          <w:sz w:val="24"/>
        </w:rPr>
        <w:t>The department may also consider other relevant data, including field investigations conducted by representatives of the department, to determine the level of assessment of agricultural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value. </w:t>
      </w:r>
      <w:r>
        <w:rPr>
          <w:rFonts w:ascii="Times New Roman" w:hAnsi="Times New Roman"/>
          <w:b w:val="false"/>
          <w:i w:val="false"/>
          <w:color w:val="000000"/>
          <w:sz w:val="24"/>
        </w:rPr>
        <w:t>The aggregate actual value of agricultural real estate in each county shall be determined by multiplying the equalized per-acre value by the number of acres of agricultural real estate reported on the abstract of assessment for the current year, adjusted where necessary by the results of any field investigations conducted by the department and any other relevant data available.</w:t>
      </w:r>
    </w:p>
    <w:p>
      <w:pPr>
        <w:spacing w:before="0" w:after="0" w:line="480"/>
        <w:ind w:left="120"/>
        <w:jc w:val="both"/>
      </w:pPr>
      <w:r>
        <w:rPr>
          <w:rFonts w:ascii="Times New Roman" w:hAnsi="Times New Roman"/>
          <w:b/>
          <w:i w:val="false"/>
          <w:color w:val="000000"/>
          <w:sz w:val="24"/>
        </w:rPr>
        <w:t>102.11(2)</w:t>
      </w:r>
      <w:r>
        <w:rPr>
          <w:rFonts w:ascii="Times New Roman" w:hAnsi="Times New Roman"/>
          <w:b w:val="false"/>
          <w:i w:val="false"/>
          <w:color w:val="000000"/>
          <w:sz w:val="24"/>
        </w:rPr>
        <w:t> </w:t>
      </w:r>
      <w:r>
        <w:rPr>
          <w:rFonts w:ascii="Times New Roman" w:hAnsi="Times New Roman"/>
          <w:b w:val="false"/>
          <w:i/>
          <w:color w:val="000000"/>
          <w:sz w:val="24"/>
        </w:rPr>
        <w:t xml:space="preserve">Residential real estate outside and within incorporated cities.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Use of assessment/sales ratio study.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Basic data shall be that set forth in rule </w:t>
      </w:r>
      <w:hyperlink r:id="rId105">
        <w:r>
          <w:rPr>
            <w:rStyle w:val="Hyperlink"/>
            <w:rFonts w:ascii="Times New Roman" w:hAnsi="Times New Roman"/>
            <w:b w:val="false"/>
            <w:i w:val="false"/>
            <w:color w:val="000000"/>
            <w:sz w:val="24"/>
          </w:rPr>
          <w:t>701—102.9</w:t>
        </w:r>
      </w:hyperlink>
      <w:r>
        <w:rPr>
          <w:rFonts w:ascii="Times New Roman" w:hAnsi="Times New Roman"/>
          <w:b w:val="false"/>
          <w:i w:val="false"/>
          <w:color w:val="000000"/>
          <w:sz w:val="24"/>
        </w:rPr>
        <w:t>(421) refined by eliminating any sales determined to be abnormal or by adjusting the sales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residential real estate in each assessing jurisdiction. The department may consider sales and appraisal data for prior years if it is determined the use of the sales and appraisal data for the year immediately preceding the year in which the equalization order is issued is insufficient to determine market value. If such sales and appraisal data for prior years is used, consideration shall be given for any subsequent changes in either assessed value or market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Assessors shall provide any known facts or circumstances regarding reported sales transactions and department appraisals that indicate abnormal or unusual conditions or reporting discrepancies that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Use of other relevant data. </w:t>
      </w:r>
      <w:r>
        <w:rPr>
          <w:rFonts w:ascii="Times New Roman" w:hAnsi="Times New Roman"/>
          <w:b w:val="false"/>
          <w:i w:val="false"/>
          <w:color w:val="000000"/>
          <w:sz w:val="24"/>
        </w:rPr>
        <w:t>The department may also consider other relevant data, including field investigations conducted by representatives of the department, to determine the level of assessment of residential real estate.</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Equalization appraisal selection procedures for residential real estate. </w:t>
      </w:r>
      <w:r>
        <w:rPr>
          <w:rFonts w:ascii="Times New Roman" w:hAnsi="Times New Roman"/>
          <w:b w:val="false"/>
          <w:i w:val="false"/>
          <w:color w:val="000000"/>
          <w:sz w:val="24"/>
        </w:rPr>
        <w:t>Residential properties to be appraised by department personnel for use in supplementing the assessment/sales ratio study shall be selected for each jurisdiction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assigned to the jurisdiction shall determine a systematic random sequence of numbers equal to the number of appraisals required and document the following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compute the interval number by dividing the total number of improved properties in the classification to be sampled by the number of appraisals to be performed.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Ten appraisals are needed with a total of 1,397 improved residential units. Dividing 1,397 by 10 equals 139.7, which is rounded down to 139. This is the interval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first sequence number shall be selected by having an available disinterested person randomly select a number from one through the interval number.</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In the example above, a number from 1 to 139 must be selected. A disinterested person randomly selects number 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develop a systematic sequence of numbers equal to the number of appraisals required. Starting with the randomly selected number, add the interval number to this number and to each resulting number until a systematic sequence of numbers is obtained.</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Ten appraisals are needed, so a sequence of ten numbers must be developed. Starting with number 20 and adding the interval number of 139 to it, each resulting number provides the following systematic sequence: 20, 159, 298, 437, 576, 715, 854, 993, 1,132, 1,271.</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county jurisdictions, randomly assign a number to each parcel in the jurisdiction. Randomly generate as many numbers as parcels needed for the appraisal and determine which parcels match those numbers. If any of the selected parcels are exempt or have no improvements, select the next consecutively numbered parcel.</w:t>
      </w:r>
    </w:p>
    <w:p>
      <w:pPr>
        <w:spacing w:before="0" w:after="0" w:line="480"/>
        <w:ind w:left="120"/>
        <w:jc w:val="both"/>
      </w:pPr>
      <w:r>
        <w:rPr>
          <w:rFonts w:ascii="Times New Roman" w:hAnsi="Times New Roman"/>
          <w:b w:val="false"/>
          <w:i w:val="false"/>
          <w:color w:val="000000"/>
          <w:sz w:val="24"/>
        </w:rPr>
        <w:t>EXAMPLE 4:</w:t>
      </w:r>
    </w:p>
    <w:tbl>
      <w:tblPr>
        <w:tblW w:w="0" w:type="auto"/>
        <w:tblCellSpacing w:w="0" w:type="auto"/>
        <w:tblBorders>
          <w:top w:val="none"/>
          <w:left w:val="none"/>
          <w:bottom w:val="none"/>
          <w:right w:val="none"/>
          <w:insideH w:val="none"/>
          <w:insideV w:val="none"/>
        </w:tblBorders>
        <w:tblLayout w:type="fixed"/>
      </w:tblPr>
      <w:tblGrid>
        <w:gridCol w:w="1543"/>
        <w:gridCol w:w="2190"/>
        <w:gridCol w:w="1150"/>
        <w:gridCol w:w="2403"/>
        <w:gridCol w:w="1150"/>
        <w:gridCol w:w="1304"/>
        <w:gridCol w:w="1524"/>
      </w:tblGrid>
      <w:tr>
        <w:trPr>
          <w:trHeight w:val="375"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City or Township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Number of Improved Residential Units</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Code Numbers</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25"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Franklin Twp.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1-57</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Pleasant View</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160</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58-217</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Jackson Twp.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218-273</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Johnston</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274-573</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Polk Twp.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574-683</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Washington Twp.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684-797</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Maryville</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306</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798-1103</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Camden Twp.</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1104-1213</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Salem</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184</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1214-1397</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154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3"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1,397</w:t>
            </w:r>
          </w:p>
        </w:tc>
        <w:tc>
          <w:tcPr>
            <w:tcW w:w="115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52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Determine the location of the improved properties selected for appraisal and document the procedure.</w:t>
      </w:r>
    </w:p>
    <w:p>
      <w:pPr>
        <w:spacing w:before="0" w:after="0" w:line="480"/>
        <w:ind w:left="120"/>
        <w:jc w:val="both"/>
      </w:pPr>
      <w:r>
        <w:rPr>
          <w:rFonts w:ascii="Times New Roman" w:hAnsi="Times New Roman"/>
          <w:b w:val="false"/>
          <w:i w:val="false"/>
          <w:color w:val="000000"/>
          <w:sz w:val="24"/>
        </w:rPr>
        <w:t>EXAMPLE 5:</w:t>
      </w:r>
    </w:p>
    <w:tbl>
      <w:tblPr>
        <w:tblW w:w="0" w:type="auto"/>
        <w:tblCellSpacing w:w="0" w:type="auto"/>
        <w:tblBorders>
          <w:top w:val="none"/>
          <w:left w:val="none"/>
          <w:bottom w:val="none"/>
          <w:right w:val="none"/>
          <w:insideH w:val="none"/>
          <w:insideV w:val="none"/>
        </w:tblBorders>
        <w:tblLayout w:type="fixed"/>
      </w:tblPr>
      <w:tblGrid>
        <w:gridCol w:w="2151"/>
        <w:gridCol w:w="823"/>
        <w:gridCol w:w="2282"/>
        <w:gridCol w:w="832"/>
        <w:gridCol w:w="1264"/>
        <w:gridCol w:w="832"/>
        <w:gridCol w:w="1148"/>
        <w:gridCol w:w="822"/>
        <w:gridCol w:w="1110"/>
      </w:tblGrid>
      <w:tr>
        <w:trPr>
          <w:trHeight w:val="375" w:hRule="atLeast"/>
        </w:trPr>
        <w:tc>
          <w:tcPr>
            <w:tcW w:w="2151"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City or Township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Number of Improved Residential Units</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Code Numbers</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Sequence Number</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bottom w:val="single" w:color="000000" w:sz="8"/>
            </w:tcBorders>
            <w:tcMar>
              <w:top w:w="53"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Entry on Rolls</w:t>
            </w:r>
          </w:p>
        </w:tc>
      </w:tr>
      <w:tr>
        <w:trPr>
          <w:trHeight w:val="225"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Franklin Twp.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Pleasant View</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160</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58-217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159</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Jackson Twp.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218-273</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Johnston</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274-573</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298,437</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25,164</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Polk Twp.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574-683</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576</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Washington Twp.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684-797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715</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32</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Maryville</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306</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798-1103</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854,993</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57,196</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Camden Twp.</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1104-1213</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1132</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Salem</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184</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1214-1397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1271</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58</w:t>
            </w:r>
          </w:p>
        </w:tc>
      </w:tr>
      <w:tr>
        <w:trPr>
          <w:trHeight w:val="210" w:hRule="atLeast"/>
        </w:trPr>
        <w:tc>
          <w:tcPr>
            <w:tcW w:w="2151"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c>
          <w:tcPr>
            <w:tcW w:w="823"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282" w:type="dxa"/>
            <w:tcBorders/>
            <w:tcMar>
              <w:top w:w="53"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1,397</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64"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3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48"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822"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10" w:type="dxa"/>
            <w:tcBorders/>
            <w:tcMar>
              <w:top w:w="53"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locate the property to be appraised by finding the relationship between the sequence numbers and the code numbers and identify the property.</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The first sequence number is 20. Since the improved residential properties in Franklin Township have been assigned code numbers 1 to 57, sequence number 20 is in that location. To identify this property, examine the Franklin Township assessment roll book and stop at the twentieth improved residential entry. Document the parcel number, owner’s name, and legal description of this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appraise the property selected unless it is ineligible because of any of the following restrictions:</w:t>
      </w:r>
    </w:p>
    <w:p>
      <w:pPr>
        <w:spacing w:before="0" w:after="0" w:line="480"/>
        <w:ind w:left="120"/>
        <w:jc w:val="both"/>
      </w:pPr>
      <w:r>
        <w:rPr>
          <w:rFonts w:ascii="Times New Roman" w:hAnsi="Times New Roman"/>
          <w:b w:val="false"/>
          <w:i w:val="false"/>
          <w:color w:val="000000"/>
          <w:sz w:val="24"/>
        </w:rPr>
        <w:t>Current year sale</w:t>
      </w:r>
    </w:p>
    <w:p>
      <w:pPr>
        <w:spacing w:before="0" w:after="0" w:line="480"/>
        <w:ind w:left="120"/>
        <w:jc w:val="both"/>
      </w:pPr>
      <w:r>
        <w:rPr>
          <w:rFonts w:ascii="Times New Roman" w:hAnsi="Times New Roman"/>
          <w:b w:val="false"/>
          <w:i w:val="false"/>
          <w:color w:val="000000"/>
          <w:sz w:val="24"/>
        </w:rPr>
        <w:t>Partial assessment</w:t>
      </w:r>
    </w:p>
    <w:p>
      <w:pPr>
        <w:spacing w:before="0" w:after="0" w:line="480"/>
        <w:ind w:left="120"/>
        <w:jc w:val="both"/>
      </w:pPr>
      <w:r>
        <w:rPr>
          <w:rFonts w:ascii="Times New Roman" w:hAnsi="Times New Roman"/>
          <w:b w:val="false"/>
          <w:i w:val="false"/>
          <w:color w:val="000000"/>
          <w:sz w:val="24"/>
        </w:rPr>
        <w:t>Prior equalization appraisal</w:t>
      </w:r>
    </w:p>
    <w:p>
      <w:pPr>
        <w:spacing w:before="0" w:after="0" w:line="480"/>
        <w:ind w:left="120"/>
        <w:jc w:val="both"/>
      </w:pPr>
      <w:r>
        <w:rPr>
          <w:rFonts w:ascii="Times New Roman" w:hAnsi="Times New Roman"/>
          <w:b w:val="false"/>
          <w:i w:val="false"/>
          <w:color w:val="000000"/>
          <w:sz w:val="24"/>
        </w:rPr>
        <w:t>Tax-exempt</w:t>
      </w:r>
    </w:p>
    <w:p>
      <w:pPr>
        <w:spacing w:before="0" w:after="0" w:line="480"/>
        <w:ind w:left="120"/>
        <w:jc w:val="both"/>
      </w:pPr>
      <w:r>
        <w:rPr>
          <w:rFonts w:ascii="Times New Roman" w:hAnsi="Times New Roman"/>
          <w:b w:val="false"/>
          <w:i w:val="false"/>
          <w:color w:val="000000"/>
          <w:sz w:val="24"/>
        </w:rPr>
        <w:t>Value established by court action</w:t>
      </w:r>
    </w:p>
    <w:p>
      <w:pPr>
        <w:spacing w:before="0" w:after="0" w:line="480"/>
        <w:ind w:left="120"/>
        <w:jc w:val="both"/>
      </w:pPr>
      <w:r>
        <w:rPr>
          <w:rFonts w:ascii="Times New Roman" w:hAnsi="Times New Roman"/>
          <w:b w:val="false"/>
          <w:i w:val="false"/>
          <w:color w:val="000000"/>
          <w:sz w:val="24"/>
        </w:rPr>
        <w:t>Value is not more than $25,000</w:t>
      </w:r>
    </w:p>
    <w:p>
      <w:pPr>
        <w:spacing w:before="0" w:after="0" w:line="480"/>
        <w:ind w:left="120"/>
        <w:jc w:val="both"/>
      </w:pPr>
      <w:r>
        <w:rPr>
          <w:rFonts w:ascii="Times New Roman" w:hAnsi="Times New Roman"/>
          <w:b w:val="false"/>
          <w:i w:val="false"/>
          <w:color w:val="000000"/>
          <w:sz w:val="24"/>
        </w:rPr>
        <w:t>Building on leased land</w:t>
      </w:r>
    </w:p>
    <w:p>
      <w:pPr>
        <w:spacing w:before="0" w:after="0" w:line="480"/>
        <w:ind w:left="120"/>
        <w:jc w:val="both"/>
      </w:pPr>
      <w:r>
        <w:rPr>
          <w:rFonts w:ascii="Times New Roman" w:hAnsi="Times New Roman"/>
          <w:b w:val="false"/>
          <w:i w:val="false"/>
          <w:color w:val="000000"/>
          <w:sz w:val="24"/>
        </w:rPr>
        <w:t>Any other property that the department appraiser determines would be improper for use in supplementing the assessment/sales ratio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Substitute property.</w:t>
      </w:r>
    </w:p>
    <w:p>
      <w:pPr>
        <w:spacing w:before="0" w:after="0" w:line="480"/>
        <w:ind w:left="120"/>
        <w:jc w:val="both"/>
      </w:pPr>
      <w:r>
        <w:rPr>
          <w:rFonts w:ascii="Times New Roman" w:hAnsi="Times New Roman"/>
          <w:b w:val="false"/>
          <w:i w:val="false"/>
          <w:color w:val="000000"/>
          <w:sz w:val="24"/>
        </w:rPr>
        <w:t>(a) The department appraiser shall determine a substitute property if the originally selected one is ineligible. In ascending order, select code numbers until an eligible property is found.</w:t>
      </w:r>
    </w:p>
    <w:p>
      <w:pPr>
        <w:spacing w:before="0" w:after="0" w:line="480"/>
        <w:ind w:left="120"/>
        <w:jc w:val="both"/>
      </w:pPr>
      <w:r>
        <w:rPr>
          <w:rFonts w:ascii="Times New Roman" w:hAnsi="Times New Roman"/>
          <w:b w:val="false"/>
          <w:i w:val="false"/>
          <w:color w:val="000000"/>
          <w:sz w:val="24"/>
        </w:rPr>
        <w:t>EXAMPLE 7:</w:t>
      </w:r>
      <w:r>
        <w:rPr>
          <w:rFonts w:ascii="Times New Roman" w:hAnsi="Times New Roman"/>
          <w:b w:val="false"/>
          <w:i w:val="false"/>
          <w:color w:val="000000"/>
          <w:sz w:val="24"/>
        </w:rPr>
        <w:t xml:space="preserve"> If code number 20 is ineligible, use code number 21 as a substitute. If code number 21 is ineligible, use code number 22, etc., until an eligible property is found. </w:t>
      </w:r>
    </w:p>
    <w:p>
      <w:pPr>
        <w:spacing w:before="0" w:after="0" w:line="480"/>
        <w:ind w:left="120"/>
        <w:jc w:val="both"/>
      </w:pPr>
      <w:r>
        <w:rPr>
          <w:rFonts w:ascii="Times New Roman" w:hAnsi="Times New Roman"/>
          <w:b w:val="false"/>
          <w:i w:val="false"/>
          <w:color w:val="000000"/>
          <w:sz w:val="24"/>
        </w:rPr>
        <w:t xml:space="preserve">(b) If the procedure described in paragraph </w:t>
      </w:r>
      <w:hyperlink r:id="rId106">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(3)“3”(a) moves the substitute property to another city or township, select substitute code numbers in descending order until an eligible property is found.</w:t>
      </w:r>
    </w:p>
    <w:p>
      <w:pPr>
        <w:spacing w:before="0" w:after="0" w:line="480"/>
        <w:ind w:left="120"/>
        <w:jc w:val="both"/>
      </w:pPr>
      <w:r>
        <w:rPr>
          <w:rFonts w:ascii="Times New Roman" w:hAnsi="Times New Roman"/>
          <w:b w:val="false"/>
          <w:i w:val="false"/>
          <w:color w:val="000000"/>
          <w:sz w:val="24"/>
        </w:rPr>
        <w:t xml:space="preserve">(c) If the procedure described in paragraph </w:t>
      </w:r>
      <w:hyperlink r:id="rId107">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 xml:space="preserve">(3)“3”(b) moves the substitute property to a preceding city or township, go back to the procedure of paragraph </w:t>
      </w:r>
      <w:hyperlink r:id="rId108">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(3)“3”(a) even if it moves the substitute property to a subsequent city or township.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Select an alternate property for the originally selected property that also would be eligible. This is necessary because at the time of appraisal the property may be found to be ineligible due to one of the restrictions in numbered paragraph </w:t>
      </w:r>
      <w:hyperlink r:id="rId109">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 xml:space="preserve">(3)“2.” Alternate properties are selected by using the same procedure described in numbered paragraph </w:t>
      </w:r>
      <w:hyperlink r:id="rId110">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(3)“3.”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 procedures in numbered paragraphs </w:t>
      </w:r>
      <w:hyperlink r:id="rId111">
        <w:r>
          <w:rPr>
            <w:rStyle w:val="Hyperlink"/>
            <w:rFonts w:ascii="Times New Roman" w:hAnsi="Times New Roman"/>
            <w:b w:val="false"/>
            <w:i w:val="false"/>
            <w:color w:val="000000"/>
            <w:sz w:val="24"/>
          </w:rPr>
          <w:t>102.11(2)</w:t>
        </w:r>
      </w:hyperlink>
      <w:r>
        <w:rPr>
          <w:rFonts w:ascii="Times New Roman" w:hAnsi="Times New Roman"/>
          <w:b w:val="false"/>
          <w:i/>
          <w:color w:val="000000"/>
          <w:sz w:val="24"/>
        </w:rPr>
        <w:t>“c”</w:t>
      </w:r>
      <w:r>
        <w:rPr>
          <w:rFonts w:ascii="Times New Roman" w:hAnsi="Times New Roman"/>
          <w:b w:val="false"/>
          <w:i w:val="false"/>
          <w:color w:val="000000"/>
          <w:sz w:val="24"/>
        </w:rPr>
        <w:t>(3)“1” through “4” for each of the other originally selected sequence numbers.</w:t>
      </w:r>
    </w:p>
    <w:p>
      <w:pPr>
        <w:spacing w:before="0" w:after="0" w:line="480"/>
        <w:ind w:left="120"/>
        <w:jc w:val="both"/>
      </w:pPr>
      <w:r>
        <w:rPr>
          <w:rFonts w:ascii="Times New Roman" w:hAnsi="Times New Roman"/>
          <w:b/>
          <w:i w:val="false"/>
          <w:color w:val="000000"/>
          <w:sz w:val="24"/>
        </w:rPr>
        <w:t>102.11(3)</w:t>
      </w:r>
      <w:r>
        <w:rPr>
          <w:rFonts w:ascii="Times New Roman" w:hAnsi="Times New Roman"/>
          <w:b w:val="false"/>
          <w:i w:val="false"/>
          <w:color w:val="000000"/>
          <w:sz w:val="24"/>
        </w:rPr>
        <w:t> </w:t>
      </w:r>
      <w:r>
        <w:rPr>
          <w:rFonts w:ascii="Times New Roman" w:hAnsi="Times New Roman"/>
          <w:b w:val="false"/>
          <w:i/>
          <w:color w:val="000000"/>
          <w:sz w:val="24"/>
        </w:rPr>
        <w:t xml:space="preserve">Commercial real estate.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Use of assessment/sales ratio study.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Basic data shall be that set forth in rule </w:t>
      </w:r>
      <w:hyperlink r:id="rId112">
        <w:r>
          <w:rPr>
            <w:rStyle w:val="Hyperlink"/>
            <w:rFonts w:ascii="Times New Roman" w:hAnsi="Times New Roman"/>
            <w:b w:val="false"/>
            <w:i w:val="false"/>
            <w:color w:val="000000"/>
            <w:sz w:val="24"/>
          </w:rPr>
          <w:t>701—102.9</w:t>
        </w:r>
      </w:hyperlink>
      <w:r>
        <w:rPr>
          <w:rFonts w:ascii="Times New Roman" w:hAnsi="Times New Roman"/>
          <w:b w:val="false"/>
          <w:i w:val="false"/>
          <w:color w:val="000000"/>
          <w:sz w:val="24"/>
        </w:rPr>
        <w:t>(421), refined by eliminating any sales determined to be abnormal or by adjusting the sales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commercial real estate in each assessing jurisdiction. The department may consider sales and appraisal data for prior years if it is determined the use of sales and appraisal data for the year immediately preceding the year in which the equalization order is issued is insufficient to determine market value. If such sales and appraisal data for prior years are used, consideration shall be given for any subsequent changes in either assessed value or market value. Properties receiving a dual classification with the primary use being commercial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Assessors shall provide any known facts or circumstances regarding reported sales transactions and department appraisals that indicate abnormal or unusual conditions or reporting discrepancies that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Use of other relevant data. </w:t>
      </w:r>
      <w:r>
        <w:rPr>
          <w:rFonts w:ascii="Times New Roman" w:hAnsi="Times New Roman"/>
          <w:b w:val="false"/>
          <w:i w:val="false"/>
          <w:color w:val="000000"/>
          <w:sz w:val="24"/>
        </w:rPr>
        <w:t>The department may also consider other relevant data and statistical measures, including field investigations conducted by representatives of the department, to determine the level of assessment of commercial real estate. The diverse nature of commercial real estate precludes the use of a countywide or citywide income capitalization study.</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Equalization appraisal selection procedures for commercial real estate. </w:t>
      </w:r>
      <w:r>
        <w:rPr>
          <w:rFonts w:ascii="Times New Roman" w:hAnsi="Times New Roman"/>
          <w:b w:val="false"/>
          <w:i w:val="false"/>
          <w:color w:val="000000"/>
          <w:sz w:val="24"/>
        </w:rPr>
        <w:t>Commercial properties to be appraised by department personnel for use in supplementing the assessment/sales ratio study shall be selected for each jurisdiction in the manner outlined below. Properties receiving a dual classification with the primary use being commercial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assigned to the jurisdiction shall determine a systematic random sequence of numbers equal to the number of appraisals required and document the following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compute the interval number by dividing the total number of improved properties in the classification to be sampled by the number of appraisals to be performed.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Ten appraisals are needed with a total of 397 improved commercial units. Dividing 397 by 10 equals 39.7, which is rounded down to 39. This is the interval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selection of the first sequence number shall be accomplished by randomly selecting a number from one through the interval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develop a systematic sequence of numbers equal to the number of appraisals required. Starting with the randomly selected number, add the interval number to this number and to each resulting number until a systematic sequence of numbers is obtained.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Ten appraisals are needed, so a sequence of ten numbers must be developed. Starting with number 2 and adding the interval number of 39 to it, each resulting number provides the following systematic sequence: 2, 41, 80, 119, 158, 197, 236, 275, 314, 353.</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Number of improved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City jurisdictions—Utilizing the assessment book or a computer printout that follows the same order as the assessment book, consecutively number all the improved units and document the procedure.</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County jurisdictions—Randomly assign a number to each parcel in the jurisdiction. Randomly generate as many numbers as parcels needed for the appraisal and determine which parcels match those numbers. If any of the selected parcels are exempt or have no improvements, select the next consecutively numbered parcel.</w:t>
      </w:r>
    </w:p>
    <w:p>
      <w:pPr>
        <w:spacing w:before="0" w:after="0" w:line="480"/>
        <w:ind w:left="120"/>
        <w:jc w:val="both"/>
      </w:pPr>
      <w:r>
        <w:rPr>
          <w:rFonts w:ascii="Times New Roman" w:hAnsi="Times New Roman"/>
          <w:b w:val="false"/>
          <w:i w:val="false"/>
          <w:color w:val="000000"/>
          <w:sz w:val="24"/>
        </w:rPr>
        <w:t>EXAMPLE 3:</w:t>
      </w:r>
    </w:p>
    <w:tbl>
      <w:tblPr>
        <w:tblW w:w="0" w:type="auto"/>
        <w:tblCellSpacing w:w="0" w:type="auto"/>
        <w:tblBorders>
          <w:top w:val="none"/>
          <w:left w:val="none"/>
          <w:bottom w:val="none"/>
          <w:right w:val="none"/>
          <w:insideH w:val="none"/>
          <w:insideV w:val="none"/>
        </w:tblBorders>
        <w:tblLayout w:type="fixed"/>
      </w:tblPr>
      <w:tblGrid>
        <w:gridCol w:w="1527"/>
        <w:gridCol w:w="2193"/>
        <w:gridCol w:w="1153"/>
        <w:gridCol w:w="2406"/>
        <w:gridCol w:w="1153"/>
        <w:gridCol w:w="1307"/>
        <w:gridCol w:w="1525"/>
      </w:tblGrid>
      <w:tr>
        <w:trPr>
          <w:trHeight w:val="345" w:hRule="atLeast"/>
        </w:trPr>
        <w:tc>
          <w:tcPr>
            <w:tcW w:w="1527"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2193"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City or Township</w:t>
            </w:r>
          </w:p>
        </w:tc>
        <w:tc>
          <w:tcPr>
            <w:tcW w:w="1153"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240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Number of Improved Commercial Units</w:t>
            </w:r>
          </w:p>
        </w:tc>
        <w:tc>
          <w:tcPr>
            <w:tcW w:w="1153"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1307"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Code Numbers</w:t>
            </w:r>
          </w:p>
        </w:tc>
        <w:tc>
          <w:tcPr>
            <w:tcW w:w="1525"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Franklin Twp.</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Pleasant View</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5-64</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Jackson Twp.</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65-73</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Johnston</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74-173</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Polk Twp.</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174-183</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Washington Twp.</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184-197</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Maryville</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106</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198-303</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Camden Twp.</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304-313</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Salem</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314-397</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2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0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397</w:t>
            </w:r>
          </w:p>
        </w:tc>
        <w:tc>
          <w:tcPr>
            <w:tcW w:w="11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0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52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determine the location of the improved properties selected for appraisal and document the procedure.</w:t>
      </w:r>
    </w:p>
    <w:p>
      <w:pPr>
        <w:spacing w:before="0" w:after="0" w:line="480"/>
        <w:ind w:left="120"/>
        <w:jc w:val="both"/>
      </w:pPr>
      <w:r>
        <w:rPr>
          <w:rFonts w:ascii="Times New Roman" w:hAnsi="Times New Roman"/>
          <w:b w:val="false"/>
          <w:i w:val="false"/>
          <w:color w:val="000000"/>
          <w:sz w:val="24"/>
        </w:rPr>
        <w:t>EXAMPLE 4:</w:t>
      </w:r>
    </w:p>
    <w:tbl>
      <w:tblPr>
        <w:tblW w:w="0" w:type="auto"/>
        <w:tblCellSpacing w:w="0" w:type="auto"/>
        <w:tblBorders>
          <w:top w:val="none"/>
          <w:left w:val="none"/>
          <w:bottom w:val="none"/>
          <w:right w:val="none"/>
          <w:insideH w:val="none"/>
          <w:insideV w:val="none"/>
        </w:tblBorders>
        <w:tblLayout w:type="fixed"/>
      </w:tblPr>
      <w:tblGrid>
        <w:gridCol w:w="549"/>
        <w:gridCol w:w="2123"/>
        <w:gridCol w:w="549"/>
        <w:gridCol w:w="2336"/>
        <w:gridCol w:w="548"/>
        <w:gridCol w:w="1236"/>
        <w:gridCol w:w="548"/>
        <w:gridCol w:w="1274"/>
        <w:gridCol w:w="548"/>
        <w:gridCol w:w="1005"/>
        <w:gridCol w:w="548"/>
      </w:tblGrid>
      <w:tr>
        <w:trPr>
          <w:trHeight w:val="345"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City or Township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Number of Improved Commercial Units</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Code Numbers</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Sequence Number</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Entry on Rolls</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Franklin Twp.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Pleasant View</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5-64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Jackson Twp.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65-73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Johnston</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74-173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80,119,158</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7,46,85</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Polk Twp.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174-183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Washington Twp.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184-197</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197</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Maryville</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106</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198-303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236,275</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39,78</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Camden Twp.</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304-313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Salem</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314-397</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314,353</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1,40</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2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w:t>
            </w:r>
          </w:p>
        </w:tc>
        <w:tc>
          <w:tcPr>
            <w:tcW w:w="54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397</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locate the property to be appraised by finding the relationship between the sequence numbers and the code numbers and identify the property.</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The first sequence number is 2. Since the improved commercial properties in Franklin Township have been assigned code numbers 1 to 4, sequence number 2 is in that location. To identify this property, examine the Franklin Township assessment roll book and stop at the second improved commercial entry. The department appraiser shall document the parcel number, owner’s name, and legal description of this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appraiser shall appraise the property selected unless it is ineligible because of any of the following restrictions:</w:t>
      </w:r>
    </w:p>
    <w:p>
      <w:pPr>
        <w:spacing w:before="0" w:after="0" w:line="480"/>
        <w:ind w:left="120"/>
        <w:jc w:val="both"/>
      </w:pPr>
      <w:r>
        <w:rPr>
          <w:rFonts w:ascii="Times New Roman" w:hAnsi="Times New Roman"/>
          <w:b w:val="false"/>
          <w:i w:val="false"/>
          <w:color w:val="000000"/>
          <w:sz w:val="24"/>
        </w:rPr>
        <w:t>Vacant building</w:t>
      </w:r>
    </w:p>
    <w:p>
      <w:pPr>
        <w:spacing w:before="0" w:after="0" w:line="480"/>
        <w:ind w:left="120"/>
        <w:jc w:val="both"/>
      </w:pPr>
      <w:r>
        <w:rPr>
          <w:rFonts w:ascii="Times New Roman" w:hAnsi="Times New Roman"/>
          <w:b w:val="false"/>
          <w:i w:val="false"/>
          <w:color w:val="000000"/>
          <w:sz w:val="24"/>
        </w:rPr>
        <w:t>Current-year sale</w:t>
      </w:r>
    </w:p>
    <w:p>
      <w:pPr>
        <w:spacing w:before="0" w:after="0" w:line="480"/>
        <w:ind w:left="120"/>
        <w:jc w:val="both"/>
      </w:pPr>
      <w:r>
        <w:rPr>
          <w:rFonts w:ascii="Times New Roman" w:hAnsi="Times New Roman"/>
          <w:b w:val="false"/>
          <w:i w:val="false"/>
          <w:color w:val="000000"/>
          <w:sz w:val="24"/>
        </w:rPr>
        <w:t>Partial assessment</w:t>
      </w:r>
    </w:p>
    <w:p>
      <w:pPr>
        <w:spacing w:before="0" w:after="0" w:line="480"/>
        <w:ind w:left="120"/>
        <w:jc w:val="both"/>
      </w:pPr>
      <w:r>
        <w:rPr>
          <w:rFonts w:ascii="Times New Roman" w:hAnsi="Times New Roman"/>
          <w:b w:val="false"/>
          <w:i w:val="false"/>
          <w:color w:val="000000"/>
          <w:sz w:val="24"/>
        </w:rPr>
        <w:t>Prior equalization appraisal</w:t>
      </w:r>
    </w:p>
    <w:p>
      <w:pPr>
        <w:spacing w:before="0" w:after="0" w:line="480"/>
        <w:ind w:left="120"/>
        <w:jc w:val="both"/>
      </w:pPr>
      <w:r>
        <w:rPr>
          <w:rFonts w:ascii="Times New Roman" w:hAnsi="Times New Roman"/>
          <w:b w:val="false"/>
          <w:i w:val="false"/>
          <w:color w:val="000000"/>
          <w:sz w:val="24"/>
        </w:rPr>
        <w:t>Tax-exempt</w:t>
      </w:r>
    </w:p>
    <w:p>
      <w:pPr>
        <w:spacing w:before="0" w:after="0" w:line="480"/>
        <w:ind w:left="120"/>
        <w:jc w:val="both"/>
      </w:pPr>
      <w:r>
        <w:rPr>
          <w:rFonts w:ascii="Times New Roman" w:hAnsi="Times New Roman"/>
          <w:b w:val="false"/>
          <w:i w:val="false"/>
          <w:color w:val="000000"/>
          <w:sz w:val="24"/>
        </w:rPr>
        <w:t>Only one portion of a total property unit (example—a parking lot of a grocery store)</w:t>
      </w:r>
    </w:p>
    <w:p>
      <w:pPr>
        <w:spacing w:before="0" w:after="0" w:line="480"/>
        <w:ind w:left="120"/>
        <w:jc w:val="both"/>
      </w:pPr>
      <w:r>
        <w:rPr>
          <w:rFonts w:ascii="Times New Roman" w:hAnsi="Times New Roman"/>
          <w:b w:val="false"/>
          <w:i w:val="false"/>
          <w:color w:val="000000"/>
          <w:sz w:val="24"/>
        </w:rPr>
        <w:t>Value established by court action</w:t>
      </w:r>
    </w:p>
    <w:p>
      <w:pPr>
        <w:spacing w:before="0" w:after="0" w:line="480"/>
        <w:ind w:left="120"/>
        <w:jc w:val="both"/>
      </w:pPr>
      <w:r>
        <w:rPr>
          <w:rFonts w:ascii="Times New Roman" w:hAnsi="Times New Roman"/>
          <w:b w:val="false"/>
          <w:i w:val="false"/>
          <w:color w:val="000000"/>
          <w:sz w:val="24"/>
        </w:rPr>
        <w:t>Value is not more than $25,000</w:t>
      </w:r>
    </w:p>
    <w:p>
      <w:pPr>
        <w:spacing w:before="0" w:after="0" w:line="480"/>
        <w:ind w:left="120"/>
        <w:jc w:val="both"/>
      </w:pPr>
      <w:r>
        <w:rPr>
          <w:rFonts w:ascii="Times New Roman" w:hAnsi="Times New Roman"/>
          <w:b w:val="false"/>
          <w:i w:val="false"/>
          <w:color w:val="000000"/>
          <w:sz w:val="24"/>
        </w:rPr>
        <w:t>Building on leased land</w:t>
      </w:r>
    </w:p>
    <w:p>
      <w:pPr>
        <w:spacing w:before="0" w:after="0" w:line="480"/>
        <w:ind w:left="120"/>
        <w:jc w:val="both"/>
      </w:pPr>
      <w:r>
        <w:rPr>
          <w:rFonts w:ascii="Times New Roman" w:hAnsi="Times New Roman"/>
          <w:b w:val="false"/>
          <w:i w:val="false"/>
          <w:color w:val="000000"/>
          <w:sz w:val="24"/>
        </w:rPr>
        <w:t>Any other property that the department appraiser determines would be improper for use in supplementing the assessment/sales ratio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Substitute property.</w:t>
      </w:r>
    </w:p>
    <w:p>
      <w:pPr>
        <w:spacing w:before="0" w:after="0" w:line="480"/>
        <w:ind w:left="120"/>
        <w:jc w:val="both"/>
      </w:pPr>
      <w:r>
        <w:rPr>
          <w:rFonts w:ascii="Times New Roman" w:hAnsi="Times New Roman"/>
          <w:b w:val="false"/>
          <w:i w:val="false"/>
          <w:color w:val="000000"/>
          <w:sz w:val="24"/>
        </w:rPr>
        <w:t>(a) The department appraiser shall determine a substitute property if the originally selected one is ineligible. In ascending order, select code numbers until an eligible property is found.</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If code number 2 is ineligible, use code number 3 as a substitute. If code number 3 is ineligible, use code number 4, etc., until an eligible property is found.</w:t>
      </w:r>
    </w:p>
    <w:p>
      <w:pPr>
        <w:spacing w:before="0" w:after="0" w:line="480"/>
        <w:ind w:left="120"/>
        <w:jc w:val="both"/>
      </w:pPr>
      <w:r>
        <w:rPr>
          <w:rFonts w:ascii="Times New Roman" w:hAnsi="Times New Roman"/>
          <w:b w:val="false"/>
          <w:i w:val="false"/>
          <w:color w:val="000000"/>
          <w:sz w:val="24"/>
        </w:rPr>
        <w:t xml:space="preserve">(b) If the procedure described in paragraph </w:t>
      </w:r>
      <w:hyperlink r:id="rId113">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(3)“3”(a) moves the substitute property to a city or township, select substitute code numbers in descending order until an eligible property is found.</w:t>
      </w:r>
    </w:p>
    <w:p>
      <w:pPr>
        <w:spacing w:before="0" w:after="0" w:line="480"/>
        <w:ind w:left="120"/>
        <w:jc w:val="both"/>
      </w:pPr>
      <w:r>
        <w:rPr>
          <w:rFonts w:ascii="Times New Roman" w:hAnsi="Times New Roman"/>
          <w:b w:val="false"/>
          <w:i w:val="false"/>
          <w:color w:val="000000"/>
          <w:sz w:val="24"/>
        </w:rPr>
        <w:t xml:space="preserve">(c) If the procedure described in paragraph </w:t>
      </w:r>
      <w:hyperlink r:id="rId114">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 xml:space="preserve">(3)“3”(b) moves the substitute property to a preceding city or township, go back to the procedure of paragraph </w:t>
      </w:r>
      <w:hyperlink r:id="rId115">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(3)“3”(a) even if it moves the substitute property to a subsequent city or township.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Select an alternate property for the originally selected property that also would be eligible. This is necessary because at the time of appraisal the property may be found to be ineligible due to one of the restrictions in numbered paragraph </w:t>
      </w:r>
      <w:hyperlink r:id="rId116">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 xml:space="preserve">(3)“2.” Alternate properties are selected by using the same procedure described in numbered paragraph </w:t>
      </w:r>
      <w:hyperlink r:id="rId117">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(3)“3.”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 procedures in numbered paragraphs </w:t>
      </w:r>
      <w:hyperlink r:id="rId118">
        <w:r>
          <w:rPr>
            <w:rStyle w:val="Hyperlink"/>
            <w:rFonts w:ascii="Times New Roman" w:hAnsi="Times New Roman"/>
            <w:b w:val="false"/>
            <w:i w:val="false"/>
            <w:color w:val="000000"/>
            <w:sz w:val="24"/>
          </w:rPr>
          <w:t>102.11(3)</w:t>
        </w:r>
      </w:hyperlink>
      <w:r>
        <w:rPr>
          <w:rFonts w:ascii="Times New Roman" w:hAnsi="Times New Roman"/>
          <w:b w:val="false"/>
          <w:i/>
          <w:color w:val="000000"/>
          <w:sz w:val="24"/>
        </w:rPr>
        <w:t>“c”</w:t>
      </w:r>
      <w:r>
        <w:rPr>
          <w:rFonts w:ascii="Times New Roman" w:hAnsi="Times New Roman"/>
          <w:b w:val="false"/>
          <w:i w:val="false"/>
          <w:color w:val="000000"/>
          <w:sz w:val="24"/>
        </w:rPr>
        <w:t>(3)“1” through “4” for each of the other originally selected sequence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102.11(4)</w:t>
      </w:r>
      <w:r>
        <w:rPr>
          <w:rFonts w:ascii="Times New Roman" w:hAnsi="Times New Roman"/>
          <w:b w:val="false"/>
          <w:i w:val="false"/>
          <w:color w:val="000000"/>
          <w:sz w:val="24"/>
        </w:rPr>
        <w:t> </w:t>
      </w:r>
      <w:r>
        <w:rPr>
          <w:rFonts w:ascii="Times New Roman" w:hAnsi="Times New Roman"/>
          <w:b w:val="false"/>
          <w:i/>
          <w:color w:val="000000"/>
          <w:sz w:val="24"/>
        </w:rPr>
        <w:t xml:space="preserve">Industrial real estate. </w:t>
      </w:r>
      <w:r>
        <w:rPr>
          <w:rFonts w:ascii="Times New Roman" w:hAnsi="Times New Roman"/>
          <w:b w:val="false"/>
          <w:i w:val="false"/>
          <w:color w:val="000000"/>
          <w:sz w:val="24"/>
        </w:rPr>
        <w:t xml:space="preserve">It is not possible to determine the level of assessment of industrial real estate by using accepted equalization methods. The lack of sales data precludes the use of an assessment/sales ratio study, the diverse nature of industrial real estate precludes the use of a countywide or citywide income capitalization study, and the limited number of industrial properties precludes the use of sample appraisals. The level of assessment of industrial real estate can only be determined by the valuation of individual parcels of industrial real estate. Any attempt to equalize industrial valuations by using accepted equalization methods would create an arbitrary result. However, under the circumstances set forth in Iowa Code section </w:t>
      </w:r>
      <w:hyperlink r:id="rId119">
        <w:r>
          <w:rPr>
            <w:rStyle w:val="Hyperlink"/>
            <w:rFonts w:ascii="Times New Roman" w:hAnsi="Times New Roman"/>
            <w:b w:val="false"/>
            <w:i w:val="false"/>
            <w:color w:val="000000"/>
            <w:sz w:val="24"/>
          </w:rPr>
          <w:t>421.17(10)</w:t>
        </w:r>
      </w:hyperlink>
      <w:r>
        <w:rPr>
          <w:rFonts w:ascii="Times New Roman" w:hAnsi="Times New Roman"/>
          <w:b w:val="false"/>
          <w:i w:val="false"/>
          <w:color w:val="000000"/>
          <w:sz w:val="24"/>
        </w:rPr>
        <w:t>, the department may correct any errors in such assessments that are brought to the attention of the department, including errors related to property with a dual classification if the primary use of the property is from the industrial portions.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102.11(5)</w:t>
      </w:r>
      <w:r>
        <w:rPr>
          <w:rFonts w:ascii="Times New Roman" w:hAnsi="Times New Roman"/>
          <w:b w:val="false"/>
          <w:i w:val="false"/>
          <w:color w:val="000000"/>
          <w:sz w:val="24"/>
        </w:rPr>
        <w:t> </w:t>
      </w:r>
      <w:r>
        <w:rPr>
          <w:rFonts w:ascii="Times New Roman" w:hAnsi="Times New Roman"/>
          <w:b w:val="false"/>
          <w:i/>
          <w:color w:val="000000"/>
          <w:sz w:val="24"/>
        </w:rPr>
        <w:t xml:space="preserve">Centrally assessed property. </w:t>
      </w:r>
      <w:r>
        <w:rPr>
          <w:rFonts w:ascii="Times New Roman" w:hAnsi="Times New Roman"/>
          <w:b w:val="false"/>
          <w:i w:val="false"/>
          <w:color w:val="000000"/>
          <w:sz w:val="24"/>
        </w:rPr>
        <w:t xml:space="preserve">Property assessed by the department pursuant to Iowa Code chapters </w:t>
      </w:r>
      <w:hyperlink r:id="rId120">
        <w:r>
          <w:rPr>
            <w:rStyle w:val="Hyperlink"/>
            <w:rFonts w:ascii="Times New Roman" w:hAnsi="Times New Roman"/>
            <w:b w:val="false"/>
            <w:i w:val="false"/>
            <w:color w:val="000000"/>
            <w:sz w:val="24"/>
          </w:rPr>
          <w:t>428</w:t>
        </w:r>
      </w:hyperlink>
      <w:r>
        <w:rPr>
          <w:rFonts w:ascii="Times New Roman" w:hAnsi="Times New Roman"/>
          <w:b w:val="false"/>
          <w:i w:val="false"/>
          <w:color w:val="000000"/>
          <w:sz w:val="24"/>
        </w:rPr>
        <w:t xml:space="preserve">, </w:t>
      </w:r>
      <w:hyperlink r:id="rId121">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w:t>
      </w:r>
      <w:hyperlink r:id="rId122">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123">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 xml:space="preserve"> is equalized internally by the department in the making of the assessments. Further, the assessments are equalized with the aggregate valuations of other classes of property as a result of actions taken by the department pursuant to rule </w:t>
      </w:r>
      <w:hyperlink r:id="rId124">
        <w:r>
          <w:rPr>
            <w:rStyle w:val="Hyperlink"/>
            <w:rFonts w:ascii="Times New Roman" w:hAnsi="Times New Roman"/>
            <w:b w:val="false"/>
            <w:i w:val="false"/>
            <w:color w:val="000000"/>
            <w:sz w:val="24"/>
          </w:rPr>
          <w:t>701—102.10</w:t>
        </w:r>
      </w:hyperlink>
      <w:r>
        <w:rPr>
          <w:rFonts w:ascii="Times New Roman" w:hAnsi="Times New Roman"/>
          <w:b w:val="false"/>
          <w:i w:val="false"/>
          <w:color w:val="000000"/>
          <w:sz w:val="24"/>
        </w:rPr>
        <w:t>(441).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102.11(6)</w:t>
      </w:r>
      <w:r>
        <w:rPr>
          <w:rFonts w:ascii="Times New Roman" w:hAnsi="Times New Roman"/>
          <w:b w:val="false"/>
          <w:i w:val="false"/>
          <w:color w:val="000000"/>
          <w:sz w:val="24"/>
        </w:rPr>
        <w:t> </w:t>
      </w:r>
      <w:r>
        <w:rPr>
          <w:rFonts w:ascii="Times New Roman" w:hAnsi="Times New Roman"/>
          <w:b w:val="false"/>
          <w:i/>
          <w:color w:val="000000"/>
          <w:sz w:val="24"/>
        </w:rPr>
        <w:t xml:space="preserve">Miscellaneous real estate. </w:t>
      </w:r>
      <w:r>
        <w:rPr>
          <w:rFonts w:ascii="Times New Roman" w:hAnsi="Times New Roman"/>
          <w:b w:val="false"/>
          <w:i w:val="false"/>
          <w:color w:val="000000"/>
          <w:sz w:val="24"/>
        </w:rPr>
        <w:t xml:space="preserve">Since it is not possible to use accepted equalization methods to determine the level of assessment of mineral rights and interstate railroad and toll bridges, these properties shall not be subject to equalization by the department. However, under the circumstances set forth in Iowa Code section </w:t>
      </w:r>
      <w:hyperlink r:id="rId125">
        <w:r>
          <w:rPr>
            <w:rStyle w:val="Hyperlink"/>
            <w:rFonts w:ascii="Times New Roman" w:hAnsi="Times New Roman"/>
            <w:b w:val="false"/>
            <w:i w:val="false"/>
            <w:color w:val="000000"/>
            <w:sz w:val="24"/>
          </w:rPr>
          <w:t>421.17(10)</w:t>
        </w:r>
      </w:hyperlink>
      <w:r>
        <w:rPr>
          <w:rFonts w:ascii="Times New Roman" w:hAnsi="Times New Roman"/>
          <w:b w:val="false"/>
          <w:i w:val="false"/>
          <w:color w:val="000000"/>
          <w:sz w:val="24"/>
        </w:rPr>
        <w:t>, the department may correct any errors in assessments that are brought to the attention of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6">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 xml:space="preserve">, </w:t>
      </w:r>
      <w:hyperlink r:id="rId127">
        <w:r>
          <w:rPr>
            <w:rStyle w:val="Hyperlink"/>
            <w:rFonts w:ascii="Times New Roman" w:hAnsi="Times New Roman"/>
            <w:b w:val="false"/>
            <w:i w:val="false"/>
            <w:color w:val="000000"/>
            <w:sz w:val="24"/>
          </w:rPr>
          <w:t>441.47</w:t>
        </w:r>
      </w:hyperlink>
      <w:r>
        <w:rPr>
          <w:rFonts w:ascii="Times New Roman" w:hAnsi="Times New Roman"/>
          <w:b w:val="false"/>
          <w:i w:val="false"/>
          <w:color w:val="000000"/>
          <w:sz w:val="24"/>
        </w:rPr>
        <w:t xml:space="preserve">, </w:t>
      </w:r>
      <w:hyperlink r:id="rId128">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 xml:space="preserve"> and </w:t>
      </w:r>
      <w:hyperlink r:id="rId129">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701—102.12</w:t>
      </w:r>
      <w:r>
        <w:rPr>
          <w:rFonts w:ascii="Times New Roman" w:hAnsi="Times New Roman"/>
          <w:b/>
          <w:i w:val="false"/>
          <w:color w:val="000000"/>
          <w:sz w:val="24"/>
        </w:rPr>
        <w:t xml:space="preserve">(441) </w:t>
      </w:r>
      <w:r>
        <w:rPr>
          <w:rFonts w:ascii="Times New Roman" w:hAnsi="Times New Roman"/>
          <w:b/>
          <w:i w:val="false"/>
          <w:color w:val="000000"/>
          <w:sz w:val="24"/>
        </w:rPr>
        <w:t xml:space="preserve">Tentative equalization notices. </w:t>
      </w:r>
      <w:r>
        <w:rPr>
          <w:rFonts w:ascii="Times New Roman" w:hAnsi="Times New Roman"/>
          <w:b w:val="false"/>
          <w:i w:val="false"/>
          <w:color w:val="000000"/>
          <w:sz w:val="24"/>
        </w:rPr>
        <w:t xml:space="preserve">Prior to the issuance of the final equalization order to each county auditor, a tentative equalization notice providing for proposed percentage adjustments to the aggregate valuations of classes of property as set forth in rule </w:t>
      </w:r>
      <w:hyperlink r:id="rId130">
        <w:r>
          <w:rPr>
            <w:rStyle w:val="Hyperlink"/>
            <w:rFonts w:ascii="Times New Roman" w:hAnsi="Times New Roman"/>
            <w:b w:val="false"/>
            <w:i w:val="false"/>
            <w:color w:val="000000"/>
            <w:sz w:val="24"/>
          </w:rPr>
          <w:t>701—102.11</w:t>
        </w:r>
      </w:hyperlink>
      <w:r>
        <w:rPr>
          <w:rFonts w:ascii="Times New Roman" w:hAnsi="Times New Roman"/>
          <w:b w:val="false"/>
          <w:i w:val="false"/>
          <w:color w:val="000000"/>
          <w:sz w:val="24"/>
        </w:rPr>
        <w:t xml:space="preserve">(441) shall be mailed to the county auditor whose valuations are proposed to be adjusted. The tentative equalization notice constitutes the ten days’ notice required by Iowa Code section </w:t>
      </w:r>
      <w:hyperlink r:id="rId131">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2">
        <w:r>
          <w:rPr>
            <w:rStyle w:val="Hyperlink"/>
            <w:rFonts w:ascii="Times New Roman" w:hAnsi="Times New Roman"/>
            <w:b w:val="false"/>
            <w:i w:val="false"/>
            <w:color w:val="000000"/>
            <w:sz w:val="24"/>
          </w:rPr>
          <w:t>441.47</w:t>
        </w:r>
      </w:hyperlink>
      <w:r>
        <w:rPr>
          <w:rFonts w:ascii="Times New Roman" w:hAnsi="Times New Roman"/>
          <w:b w:val="false"/>
          <w:i w:val="false"/>
          <w:color w:val="000000"/>
          <w:sz w:val="24"/>
        </w:rPr>
        <w:t xml:space="preserve"> and </w:t>
      </w:r>
      <w:hyperlink r:id="rId133">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701—102.13</w:t>
      </w:r>
      <w:r>
        <w:rPr>
          <w:rFonts w:ascii="Times New Roman" w:hAnsi="Times New Roman"/>
          <w:b/>
          <w:i w:val="false"/>
          <w:color w:val="000000"/>
          <w:sz w:val="24"/>
        </w:rPr>
        <w:t xml:space="preserve">(441) </w:t>
      </w:r>
      <w:r>
        <w:rPr>
          <w:rFonts w:ascii="Times New Roman" w:hAnsi="Times New Roman"/>
          <w:b/>
          <w:i w:val="false"/>
          <w:color w:val="000000"/>
          <w:sz w:val="24"/>
        </w:rPr>
        <w:t xml:space="preserve">Tentative 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102.13(1)</w:t>
      </w:r>
      <w:r>
        <w:rPr>
          <w:rFonts w:ascii="Times New Roman" w:hAnsi="Times New Roman"/>
          <w:b w:val="false"/>
          <w:i w:val="false"/>
          <w:color w:val="000000"/>
          <w:sz w:val="24"/>
        </w:rPr>
        <w:t> </w:t>
      </w:r>
      <w:r>
        <w:rPr>
          <w:rFonts w:ascii="Times New Roman" w:hAnsi="Times New Roman"/>
          <w:b w:val="false"/>
          <w:i/>
          <w:color w:val="000000"/>
          <w:sz w:val="24"/>
        </w:rPr>
        <w:t xml:space="preserve">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official of the assessing jurisdiction, as described in Iowa Code section </w:t>
      </w:r>
      <w:hyperlink r:id="rId134">
        <w:r>
          <w:rPr>
            <w:rStyle w:val="Hyperlink"/>
            <w:rFonts w:ascii="Times New Roman" w:hAnsi="Times New Roman"/>
            <w:b w:val="false"/>
            <w:i w:val="false"/>
            <w:color w:val="000000"/>
            <w:sz w:val="24"/>
          </w:rPr>
          <w:t>441.48(2)</w:t>
        </w:r>
      </w:hyperlink>
      <w:r>
        <w:rPr>
          <w:rFonts w:ascii="Times New Roman" w:hAnsi="Times New Roman"/>
          <w:b w:val="false"/>
          <w:i w:val="false"/>
          <w:color w:val="000000"/>
          <w:sz w:val="24"/>
        </w:rPr>
        <w:t xml:space="preserve">, can submit a notice of intent to appeal the tentative notice and written appeal materials via GovConnectIowa.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Appeals of the adjustments in valuation contained in the tentative equalization notices shall be limited to a statement of the error or errors complained of and shall include such facts as might lead to their correction. No other factors shall be considered by the department in reviewing the appeal. Appeals and hearings on tentative equalization notices before the department are excluded from the provisions of the Iowa administrative procedure Act governing contested case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102.13(2)</w:t>
      </w:r>
      <w:r>
        <w:rPr>
          <w:rFonts w:ascii="Times New Roman" w:hAnsi="Times New Roman"/>
          <w:b w:val="false"/>
          <w:i w:val="false"/>
          <w:color w:val="000000"/>
          <w:sz w:val="24"/>
        </w:rPr>
        <w:t> </w:t>
      </w:r>
      <w:r>
        <w:rPr>
          <w:rFonts w:ascii="Times New Roman" w:hAnsi="Times New Roman"/>
          <w:b w:val="false"/>
          <w:i/>
          <w:color w:val="000000"/>
          <w:sz w:val="24"/>
        </w:rPr>
        <w:t xml:space="preserve">Conduct of hearing. </w:t>
      </w:r>
      <w:r>
        <w:rPr>
          <w:rFonts w:ascii="Times New Roman" w:hAnsi="Times New Roman"/>
          <w:b w:val="false"/>
          <w:i w:val="false"/>
          <w:color w:val="000000"/>
          <w:sz w:val="24"/>
        </w:rPr>
        <w:t>Upon receipt of a notice of intent to appeal, the department will schedule each hearing so as to allow the same amount of time for each assessing jurisdiction to make its presentation. During the hearing, each assessing jurisdiction shall be afforded the opportunity to present evidence relevant to its protest. The division administrator for the local government services division shall act as the department’s representative. The department’s representative shall preside at the hearing, which shall be held at the time and place designated by the department or such other time and place as may be mutually agreed upon by the department and the protesting assessing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102.13(3)</w:t>
      </w:r>
      <w:r>
        <w:rPr>
          <w:rFonts w:ascii="Times New Roman" w:hAnsi="Times New Roman"/>
          <w:b w:val="false"/>
          <w:i w:val="false"/>
          <w:color w:val="000000"/>
          <w:sz w:val="24"/>
        </w:rPr>
        <w:t> </w:t>
      </w:r>
      <w:r>
        <w:rPr>
          <w:rFonts w:ascii="Times New Roman" w:hAnsi="Times New Roman"/>
          <w:b w:val="false"/>
          <w:i/>
          <w:color w:val="000000"/>
          <w:sz w:val="24"/>
        </w:rPr>
        <w:t xml:space="preserve">Due date of written materials. </w:t>
      </w:r>
      <w:r>
        <w:rPr>
          <w:rFonts w:ascii="Times New Roman" w:hAnsi="Times New Roman"/>
          <w:b w:val="false"/>
          <w:i w:val="false"/>
          <w:color w:val="000000"/>
          <w:sz w:val="24"/>
        </w:rPr>
        <w:t>If the assessing jurisdiction elects to submit a written presentation in lieu of an oral hearing, the written presentation is due on the date the oral hearing would have taken place. If the assessing jurisdiction elects to submit an oral presentation supported by written documentation, the written documentation must be submitted prior to the date of the hearing.</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5">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701—102.14</w:t>
      </w:r>
      <w:r>
        <w:rPr>
          <w:rFonts w:ascii="Times New Roman" w:hAnsi="Times New Roman"/>
          <w:b/>
          <w:i w:val="false"/>
          <w:color w:val="000000"/>
          <w:sz w:val="24"/>
        </w:rPr>
        <w:t xml:space="preserve">(441) </w:t>
      </w:r>
      <w:r>
        <w:rPr>
          <w:rFonts w:ascii="Times New Roman" w:hAnsi="Times New Roman"/>
          <w:b/>
          <w:i w:val="false"/>
          <w:color w:val="000000"/>
          <w:sz w:val="24"/>
        </w:rPr>
        <w:t xml:space="preserve">Final equalization order and 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102.14(1)</w:t>
      </w:r>
      <w:r>
        <w:rPr>
          <w:rFonts w:ascii="Times New Roman" w:hAnsi="Times New Roman"/>
          <w:b w:val="false"/>
          <w:i w:val="false"/>
          <w:color w:val="000000"/>
          <w:sz w:val="24"/>
        </w:rPr>
        <w:t> </w:t>
      </w:r>
      <w:r>
        <w:rPr>
          <w:rFonts w:ascii="Times New Roman" w:hAnsi="Times New Roman"/>
          <w:b w:val="false"/>
          <w:i/>
          <w:color w:val="000000"/>
          <w:sz w:val="24"/>
        </w:rPr>
        <w:t xml:space="preserve">Issuance of final equalization order. </w:t>
      </w:r>
      <w:r>
        <w:rPr>
          <w:rFonts w:ascii="Times New Roman" w:hAnsi="Times New Roman"/>
          <w:b w:val="false"/>
          <w:i w:val="false"/>
          <w:color w:val="000000"/>
          <w:sz w:val="24"/>
        </w:rPr>
        <w:t>The final order shall specify any percentage adjustments in the aggregate valuations of any class of property to be made effective for the county as of January 1 of the year in which the order is issued. The order shall be implemented by the county auditor.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102.14(2)</w:t>
      </w:r>
      <w:r>
        <w:rPr>
          <w:rFonts w:ascii="Times New Roman" w:hAnsi="Times New Roman"/>
          <w:b w:val="false"/>
          <w:i w:val="false"/>
          <w:color w:val="000000"/>
          <w:sz w:val="24"/>
        </w:rPr>
        <w:t> </w:t>
      </w:r>
      <w:r>
        <w:rPr>
          <w:rFonts w:ascii="Times New Roman" w:hAnsi="Times New Roman"/>
          <w:b w:val="false"/>
          <w:i/>
          <w:color w:val="000000"/>
          <w:sz w:val="24"/>
        </w:rPr>
        <w:t xml:space="preserve">Appeal of final equalization order. </w:t>
      </w:r>
      <w:r>
        <w:rPr>
          <w:rFonts w:ascii="Times New Roman" w:hAnsi="Times New Roman"/>
          <w:b w:val="false"/>
          <w:i w:val="false"/>
          <w:color w:val="000000"/>
          <w:sz w:val="24"/>
        </w:rPr>
        <w:t>The city or county officials of the affected county or assessing jurisdiction may appeal a final equalization order by submitting an appeal via GovConnectIowa, via email to the department staff indicated on the final equalization order, by personal delivery to the Hoover State Office Building during regular business hours, or by mail to the address indicated on the final equalization order. The notice of appeal must be submitted or postmarked not later than ten days after the date the final equalization order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Form of appeal. </w:t>
      </w:r>
      <w:r>
        <w:rPr>
          <w:rFonts w:ascii="Times New Roman" w:hAnsi="Times New Roman"/>
          <w:b w:val="false"/>
          <w:i w:val="false"/>
          <w:color w:val="000000"/>
          <w:sz w:val="24"/>
        </w:rPr>
        <w:t xml:space="preserve">The appeal shall be in writing and in the same format as provided in rule </w:t>
      </w:r>
      <w:hyperlink r:id="rId136">
        <w:r>
          <w:rPr>
            <w:rStyle w:val="Hyperlink"/>
            <w:rFonts w:ascii="Times New Roman" w:hAnsi="Times New Roman"/>
            <w:b w:val="false"/>
            <w:i w:val="false"/>
            <w:color w:val="000000"/>
            <w:sz w:val="24"/>
          </w:rPr>
          <w:t>701—7.5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appeal shall substantially state in separate numbered paragraphs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county or assessing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on which the final equalization order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portion of the equalization order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clear and concise assignment of each and every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clear and concise statement of the facts upon which the affected county or assessing jurisdiction relies as sustaining the assignment of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relief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signature of the city or county officials bringing the appeal, or their representative, along with the address to which all subsequent correspondence, notice or papers shall be served or mailed.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county or assessing jurisdiction may amend its appeal at any time prior to the commencement of the evidentiary hearing. The department may request that the county or assessing jurisdiction amend the notice of appeal for clarification.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Answer. </w:t>
      </w:r>
      <w:r>
        <w:rPr>
          <w:rFonts w:ascii="Times New Roman" w:hAnsi="Times New Roman"/>
          <w:b w:val="false"/>
          <w:i w:val="false"/>
          <w:color w:val="000000"/>
          <w:sz w:val="24"/>
        </w:rPr>
        <w:t xml:space="preserve">The department shall file an answer with the clerk of the legal services and appeals division within 30 days after the filing of the pleading responded to, unless an additional motion is filed as provided in rules </w:t>
      </w:r>
      <w:hyperlink r:id="rId137">
        <w:r>
          <w:rPr>
            <w:rStyle w:val="Hyperlink"/>
            <w:rFonts w:ascii="Times New Roman" w:hAnsi="Times New Roman"/>
            <w:b w:val="false"/>
            <w:i w:val="false"/>
            <w:color w:val="000000"/>
            <w:sz w:val="24"/>
          </w:rPr>
          <w:t>7—2506.12</w:t>
        </w:r>
      </w:hyperlink>
      <w:r>
        <w:rPr>
          <w:rFonts w:ascii="Times New Roman" w:hAnsi="Times New Roman"/>
          <w:b w:val="false"/>
          <w:i w:val="false"/>
          <w:color w:val="000000"/>
          <w:sz w:val="24"/>
        </w:rPr>
        <w:t xml:space="preserve">(17A) and </w:t>
      </w:r>
      <w:hyperlink r:id="rId138">
        <w:r>
          <w:rPr>
            <w:rStyle w:val="Hyperlink"/>
            <w:rFonts w:ascii="Times New Roman" w:hAnsi="Times New Roman"/>
            <w:b w:val="false"/>
            <w:i w:val="false"/>
            <w:color w:val="000000"/>
            <w:sz w:val="24"/>
          </w:rPr>
          <w:t>7—2506.15</w:t>
        </w:r>
      </w:hyperlink>
      <w:r>
        <w:rPr>
          <w:rFonts w:ascii="Times New Roman" w:hAnsi="Times New Roman"/>
          <w:b w:val="false"/>
          <w:i w:val="false"/>
          <w:color w:val="000000"/>
          <w:sz w:val="24"/>
        </w:rPr>
        <w:t>(17A), and then the answer shall be filed within 30 days after the date on which the fact finder issues a ruling on the motion. The department may amend its answer at any time prior to the commencement of the evidentiary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Docketing. </w:t>
      </w:r>
      <w:r>
        <w:rPr>
          <w:rFonts w:ascii="Times New Roman" w:hAnsi="Times New Roman"/>
          <w:b w:val="false"/>
          <w:i w:val="false"/>
          <w:color w:val="000000"/>
          <w:sz w:val="24"/>
        </w:rPr>
        <w:t xml:space="preserve">Appeals will be assigned a docket number as provided in rule </w:t>
      </w:r>
      <w:hyperlink r:id="rId139">
        <w:r>
          <w:rPr>
            <w:rStyle w:val="Hyperlink"/>
            <w:rFonts w:ascii="Times New Roman" w:hAnsi="Times New Roman"/>
            <w:b w:val="false"/>
            <w:i w:val="false"/>
            <w:color w:val="000000"/>
            <w:sz w:val="24"/>
          </w:rPr>
          <w:t>701—7.6</w:t>
        </w:r>
      </w:hyperlink>
      <w:r>
        <w:rPr>
          <w:rFonts w:ascii="Times New Roman" w:hAnsi="Times New Roman"/>
          <w:b w:val="false"/>
          <w:i w:val="false"/>
          <w:color w:val="000000"/>
          <w:sz w:val="24"/>
        </w:rPr>
        <w:t>(17A). Records consisting of the case name and the corresponding docket number assigned to the case must be maintained by the clerk of the legal services and appeals division. The records of each case shall also include each action and each act done, with the proper dates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title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Brief statement of the date of the final equalization order, the property tax classification affected, and 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manner and time of service of notice of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appearance of all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Notice of hearing, together with manner and time of service;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decision of the director or administrative law judge or other disposition of the case and 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Hearing. </w:t>
      </w:r>
      <w:r>
        <w:rPr>
          <w:rFonts w:ascii="Times New Roman" w:hAnsi="Times New Roman"/>
          <w:b w:val="false"/>
          <w:i w:val="false"/>
          <w:color w:val="000000"/>
          <w:sz w:val="24"/>
        </w:rPr>
        <w:t>Rules ​</w:t>
      </w:r>
      <w:hyperlink r:id="rId140">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 xml:space="preserve">(17A) through </w:t>
      </w:r>
      <w:hyperlink r:id="rId141">
        <w:r>
          <w:rPr>
            <w:rStyle w:val="Hyperlink"/>
            <w:rFonts w:ascii="Times New Roman" w:hAnsi="Times New Roman"/>
            <w:b w:val="false"/>
            <w:i w:val="false"/>
            <w:color w:val="000000"/>
            <w:sz w:val="24"/>
          </w:rPr>
          <w:t>7—2506.6</w:t>
        </w:r>
      </w:hyperlink>
      <w:r>
        <w:rPr>
          <w:rFonts w:ascii="Times New Roman" w:hAnsi="Times New Roman"/>
          <w:b w:val="false"/>
          <w:i w:val="false"/>
          <w:color w:val="000000"/>
          <w:sz w:val="24"/>
        </w:rPr>
        <w:t xml:space="preserve">(17A), </w:t>
      </w:r>
      <w:hyperlink r:id="rId142">
        <w:r>
          <w:rPr>
            <w:rStyle w:val="Hyperlink"/>
            <w:rFonts w:ascii="Times New Roman" w:hAnsi="Times New Roman"/>
            <w:b w:val="false"/>
            <w:i w:val="false"/>
            <w:color w:val="000000"/>
            <w:sz w:val="24"/>
          </w:rPr>
          <w:t>7—2506.9</w:t>
        </w:r>
      </w:hyperlink>
      <w:r>
        <w:rPr>
          <w:rFonts w:ascii="Times New Roman" w:hAnsi="Times New Roman"/>
          <w:b w:val="false"/>
          <w:i w:val="false"/>
          <w:color w:val="000000"/>
          <w:sz w:val="24"/>
        </w:rPr>
        <w:t xml:space="preserve">(17A), </w:t>
      </w:r>
      <w:hyperlink r:id="rId143">
        <w:r>
          <w:rPr>
            <w:rStyle w:val="Hyperlink"/>
            <w:rFonts w:ascii="Times New Roman" w:hAnsi="Times New Roman"/>
            <w:b w:val="false"/>
            <w:i w:val="false"/>
            <w:color w:val="000000"/>
            <w:sz w:val="24"/>
          </w:rPr>
          <w:t>7—2506.10</w:t>
        </w:r>
      </w:hyperlink>
      <w:r>
        <w:rPr>
          <w:rFonts w:ascii="Times New Roman" w:hAnsi="Times New Roman"/>
          <w:b w:val="false"/>
          <w:i w:val="false"/>
          <w:color w:val="000000"/>
          <w:sz w:val="24"/>
        </w:rPr>
        <w:t xml:space="preserve">(17A), </w:t>
      </w:r>
      <w:hyperlink r:id="rId144">
        <w:r>
          <w:rPr>
            <w:rStyle w:val="Hyperlink"/>
            <w:rFonts w:ascii="Times New Roman" w:hAnsi="Times New Roman"/>
            <w:b w:val="false"/>
            <w:i w:val="false"/>
            <w:color w:val="000000"/>
            <w:sz w:val="24"/>
          </w:rPr>
          <w:t>7—2506.12</w:t>
        </w:r>
      </w:hyperlink>
      <w:r>
        <w:rPr>
          <w:rFonts w:ascii="Times New Roman" w:hAnsi="Times New Roman"/>
          <w:b w:val="false"/>
          <w:i w:val="false"/>
          <w:color w:val="000000"/>
          <w:sz w:val="24"/>
        </w:rPr>
        <w:t xml:space="preserve">(17A) through </w:t>
      </w:r>
      <w:hyperlink r:id="rId145">
        <w:r>
          <w:rPr>
            <w:rStyle w:val="Hyperlink"/>
            <w:rFonts w:ascii="Times New Roman" w:hAnsi="Times New Roman"/>
            <w:b w:val="false"/>
            <w:i w:val="false"/>
            <w:color w:val="000000"/>
            <w:sz w:val="24"/>
          </w:rPr>
          <w:t>7—2506.16</w:t>
        </w:r>
      </w:hyperlink>
      <w:r>
        <w:rPr>
          <w:rFonts w:ascii="Times New Roman" w:hAnsi="Times New Roman"/>
          <w:b w:val="false"/>
          <w:i w:val="false"/>
          <w:color w:val="000000"/>
          <w:sz w:val="24"/>
        </w:rPr>
        <w:t xml:space="preserve">(17A), </w:t>
      </w:r>
      <w:hyperlink r:id="rId146">
        <w:r>
          <w:rPr>
            <w:rStyle w:val="Hyperlink"/>
            <w:rFonts w:ascii="Times New Roman" w:hAnsi="Times New Roman"/>
            <w:b w:val="false"/>
            <w:i w:val="false"/>
            <w:color w:val="000000"/>
            <w:sz w:val="24"/>
          </w:rPr>
          <w:t>7—2506.19</w:t>
        </w:r>
      </w:hyperlink>
      <w:r>
        <w:rPr>
          <w:rFonts w:ascii="Times New Roman" w:hAnsi="Times New Roman"/>
          <w:b w:val="false"/>
          <w:i w:val="false"/>
          <w:color w:val="000000"/>
          <w:sz w:val="24"/>
        </w:rPr>
        <w:t xml:space="preserve">(17A) through </w:t>
      </w:r>
      <w:hyperlink r:id="rId147">
        <w:r>
          <w:rPr>
            <w:rStyle w:val="Hyperlink"/>
            <w:rFonts w:ascii="Times New Roman" w:hAnsi="Times New Roman"/>
            <w:b w:val="false"/>
            <w:i w:val="false"/>
            <w:color w:val="000000"/>
            <w:sz w:val="24"/>
          </w:rPr>
          <w:t>7—2506.29</w:t>
        </w:r>
      </w:hyperlink>
      <w:r>
        <w:rPr>
          <w:rFonts w:ascii="Times New Roman" w:hAnsi="Times New Roman"/>
          <w:b w:val="false"/>
          <w:i w:val="false"/>
          <w:color w:val="000000"/>
          <w:sz w:val="24"/>
        </w:rPr>
        <w:t xml:space="preserve">(17A), </w:t>
      </w:r>
      <w:hyperlink r:id="rId148">
        <w:r>
          <w:rPr>
            <w:rStyle w:val="Hyperlink"/>
            <w:rFonts w:ascii="Times New Roman" w:hAnsi="Times New Roman"/>
            <w:b w:val="false"/>
            <w:i w:val="false"/>
            <w:color w:val="000000"/>
            <w:sz w:val="24"/>
          </w:rPr>
          <w:t>701—7.15</w:t>
        </w:r>
      </w:hyperlink>
      <w:r>
        <w:rPr>
          <w:rFonts w:ascii="Times New Roman" w:hAnsi="Times New Roman"/>
          <w:b w:val="false"/>
          <w:i w:val="false"/>
          <w:color w:val="000000"/>
          <w:sz w:val="24"/>
        </w:rPr>
        <w:t xml:space="preserve">(17A)​ and </w:t>
      </w:r>
      <w:hyperlink r:id="rId149">
        <w:r>
          <w:rPr>
            <w:rStyle w:val="Hyperlink"/>
            <w:rFonts w:ascii="Times New Roman" w:hAnsi="Times New Roman"/>
            <w:b w:val="false"/>
            <w:i w:val="false"/>
            <w:color w:val="000000"/>
            <w:sz w:val="24"/>
          </w:rPr>
          <w:t>701—2506.26</w:t>
        </w:r>
      </w:hyperlink>
      <w:r>
        <w:rPr>
          <w:rFonts w:ascii="Times New Roman" w:hAnsi="Times New Roman"/>
          <w:b w:val="false"/>
          <w:i w:val="false"/>
          <w:color w:val="000000"/>
          <w:sz w:val="24"/>
        </w:rPr>
        <w:t>(17A) shall apply to any hearing or proceeding regarding the appeal of a final equalization order to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5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151">
        <w:r>
          <w:rPr>
            <w:rStyle w:val="Hyperlink"/>
            <w:rFonts w:ascii="Times New Roman" w:hAnsi="Times New Roman"/>
            <w:b w:val="false"/>
            <w:i w:val="false"/>
            <w:color w:val="000000"/>
            <w:sz w:val="24"/>
          </w:rPr>
          <w:t>441.48</w:t>
        </w:r>
      </w:hyperlink>
      <w:r>
        <w:rPr>
          <w:rFonts w:ascii="Times New Roman" w:hAnsi="Times New Roman"/>
          <w:b w:val="false"/>
          <w:i w:val="false"/>
          <w:color w:val="000000"/>
          <w:sz w:val="24"/>
        </w:rPr>
        <w:t xml:space="preserve"> and </w:t>
      </w:r>
      <w:hyperlink r:id="rId152">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701—102.15</w:t>
      </w:r>
      <w:r>
        <w:rPr>
          <w:rFonts w:ascii="Times New Roman" w:hAnsi="Times New Roman"/>
          <w:b/>
          <w:i w:val="false"/>
          <w:color w:val="000000"/>
          <w:sz w:val="24"/>
        </w:rPr>
        <w:t xml:space="preserve">(441) </w:t>
      </w:r>
      <w:r>
        <w:rPr>
          <w:rFonts w:ascii="Times New Roman" w:hAnsi="Times New Roman"/>
          <w:b/>
          <w:i w:val="false"/>
          <w:color w:val="000000"/>
          <w:sz w:val="24"/>
        </w:rPr>
        <w:t xml:space="preserve">Alternative method of implementing equalization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102.15(1)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permission to use an alternative method.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request by an assessing jurisdiction for permission to use an alternative method of applying the final equalization order must be made in writing to the department within ten days from the date the county auditor receives the final equalization order. The written request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Facts evidencing the need to use an alternative method of implementing the final equalization order. Such facts shall clearly show that the proposed method is essential to ensure compliance with the provisions of Iowa Code section </w:t>
      </w:r>
      <w:hyperlink r:id="rId153">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exact methods to be employed in implementing the requested alternative method for each class of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specific method of notifying affected property owners of the valuation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Evidence that the alternative method will result in an aggregate property class valuation adjustment equivalent to that prescribed in the department’s final equalization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shall review each written request for an alternative method and shall notify the assessing jurisdiction of acceptance or rejection of the proposed method by October 15. The assessing jurisdiction shall immediately inform the county auditor of the department’s decision. The county auditor shall include a description of any approved alternative method in the required newspaper publication of the final equalization order. In those instances where the approved alternative method includes individual property owner notification, the publication shall not be considered proper notice to the affected property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102.15(2)</w:t>
      </w:r>
      <w:r>
        <w:rPr>
          <w:rFonts w:ascii="Times New Roman" w:hAnsi="Times New Roman"/>
          <w:b w:val="false"/>
          <w:i w:val="false"/>
          <w:color w:val="000000"/>
          <w:sz w:val="24"/>
        </w:rPr>
        <w:t> </w:t>
      </w:r>
      <w:r>
        <w:rPr>
          <w:rFonts w:ascii="Times New Roman" w:hAnsi="Times New Roman"/>
          <w:b w:val="false"/>
          <w:i/>
          <w:color w:val="000000"/>
          <w:sz w:val="24"/>
        </w:rPr>
        <w:t xml:space="preserve">Implementation of alternative method. </w:t>
      </w:r>
      <w:r>
        <w:rPr>
          <w:rFonts w:ascii="Times New Roman" w:hAnsi="Times New Roman"/>
          <w:b w:val="false"/>
          <w:i w:val="false"/>
          <w:color w:val="000000"/>
          <w:sz w:val="24"/>
        </w:rPr>
        <w:t>If an alternative method is approved by the department, any individual notification of property owners shall be completed by the assessor by no later than October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102.15(3)</w:t>
      </w:r>
      <w:r>
        <w:rPr>
          <w:rFonts w:ascii="Times New Roman" w:hAnsi="Times New Roman"/>
          <w:b w:val="false"/>
          <w:i w:val="false"/>
          <w:color w:val="000000"/>
          <w:sz w:val="24"/>
        </w:rPr>
        <w:t> </w:t>
      </w:r>
      <w:r>
        <w:rPr>
          <w:rFonts w:ascii="Times New Roman" w:hAnsi="Times New Roman"/>
          <w:b w:val="false"/>
          <w:i/>
          <w:color w:val="000000"/>
          <w:sz w:val="24"/>
        </w:rPr>
        <w:t xml:space="preserve">Appeal by property owners. </w:t>
      </w:r>
      <w:r>
        <w:rPr>
          <w:rFonts w:ascii="Times New Roman" w:hAnsi="Times New Roman"/>
          <w:b w:val="false"/>
          <w:i w:val="false"/>
          <w:color w:val="000000"/>
          <w:sz w:val="24"/>
        </w:rPr>
        <w:t>If an alternative method is approved by the department, the special session of the local board of review to hear equalization protests shall be extended to November 30. In such instances, protests may be filed up to and including November 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4">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701—102.16</w:t>
      </w:r>
      <w:r>
        <w:rPr>
          <w:rFonts w:ascii="Times New Roman" w:hAnsi="Times New Roman"/>
          <w:b/>
          <w:i w:val="false"/>
          <w:color w:val="000000"/>
          <w:sz w:val="24"/>
        </w:rPr>
        <w:t xml:space="preserve">(441) </w:t>
      </w:r>
      <w:r>
        <w:rPr>
          <w:rFonts w:ascii="Times New Roman" w:hAnsi="Times New Roman"/>
          <w:b/>
          <w:i w:val="false"/>
          <w:color w:val="000000"/>
          <w:sz w:val="24"/>
        </w:rPr>
        <w:t xml:space="preserve">Special session of boards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102.16(1)</w:t>
      </w:r>
      <w:r>
        <w:rPr>
          <w:rFonts w:ascii="Times New Roman" w:hAnsi="Times New Roman"/>
          <w:b w:val="false"/>
          <w:i w:val="false"/>
          <w:color w:val="000000"/>
          <w:sz w:val="24"/>
        </w:rPr>
        <w:t> </w:t>
      </w:r>
      <w:r>
        <w:rPr>
          <w:rFonts w:ascii="Times New Roman" w:hAnsi="Times New Roman"/>
          <w:b w:val="false"/>
          <w:i/>
          <w:color w:val="000000"/>
          <w:sz w:val="24"/>
        </w:rPr>
        <w:t xml:space="preserve">Grounds for protest. </w:t>
      </w:r>
      <w:r>
        <w:rPr>
          <w:rFonts w:ascii="Times New Roman" w:hAnsi="Times New Roman"/>
          <w:b w:val="false"/>
          <w:i w:val="false"/>
          <w:color w:val="000000"/>
          <w:sz w:val="24"/>
        </w:rPr>
        <w:t xml:space="preserve">The only ground for protesting to the local board of review reconvened in special session pursuant to Iowa Code section </w:t>
      </w:r>
      <w:hyperlink r:id="rId155">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 xml:space="preserve"> is that the application of the department’s final equalization order results in a value greater than that permitted under Iowa Code section </w:t>
      </w:r>
      <w:hyperlink r:id="rId156">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102.16(2)</w:t>
      </w:r>
      <w:r>
        <w:rPr>
          <w:rFonts w:ascii="Times New Roman" w:hAnsi="Times New Roman"/>
          <w:b w:val="false"/>
          <w:i w:val="false"/>
          <w:color w:val="000000"/>
          <w:sz w:val="24"/>
        </w:rPr>
        <w:t> </w:t>
      </w:r>
      <w:r>
        <w:rPr>
          <w:rFonts w:ascii="Times New Roman" w:hAnsi="Times New Roman"/>
          <w:b w:val="false"/>
          <w:i/>
          <w:color w:val="000000"/>
          <w:sz w:val="24"/>
        </w:rPr>
        <w:t xml:space="preserve">Authority of board of review. </w:t>
      </w:r>
      <w:r>
        <w:rPr>
          <w:rFonts w:ascii="Times New Roman" w:hAnsi="Times New Roman"/>
          <w:b w:val="false"/>
          <w:i w:val="false"/>
          <w:color w:val="000000"/>
          <w:sz w:val="24"/>
        </w:rPr>
        <w:t>When in special session to hear protests resulting from equalization adjustments, the local board of review shall only act upon protests for those properties for which valuations have been increased as a result of the application of the department’s final equalization order.</w:t>
      </w:r>
    </w:p>
    <w:p>
      <w:pPr>
        <w:spacing w:before="0" w:after="0" w:line="480"/>
        <w:ind w:left="120"/>
        <w:jc w:val="both"/>
      </w:pPr>
      <w:r>
        <w:rPr>
          <w:rFonts w:ascii="Times New Roman" w:hAnsi="Times New Roman"/>
          <w:b w:val="false"/>
          <w:i w:val="false"/>
          <w:color w:val="000000"/>
          <w:sz w:val="24"/>
        </w:rPr>
        <w:t>The local board of review may adjust valuations of those properties it deems warranted, but under no circumstance shall the adjustment result in a value less than that which existed prior to the application of the department’s equalization order. The local board of review shall not adjust the valuation of properties for which no protests have been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102.16(3)</w:t>
      </w:r>
      <w:r>
        <w:rPr>
          <w:rFonts w:ascii="Times New Roman" w:hAnsi="Times New Roman"/>
          <w:b w:val="false"/>
          <w:i w:val="false"/>
          <w:color w:val="000000"/>
          <w:sz w:val="24"/>
        </w:rPr>
        <w:t> </w:t>
      </w:r>
      <w:r>
        <w:rPr>
          <w:rFonts w:ascii="Times New Roman" w:hAnsi="Times New Roman"/>
          <w:b w:val="false"/>
          <w:i/>
          <w:color w:val="000000"/>
          <w:sz w:val="24"/>
        </w:rPr>
        <w:t xml:space="preserve">Report of board of review. </w:t>
      </w:r>
      <w:r>
        <w:rPr>
          <w:rFonts w:ascii="Times New Roman" w:hAnsi="Times New Roman"/>
          <w:b w:val="false"/>
          <w:i w:val="false"/>
          <w:color w:val="000000"/>
          <w:sz w:val="24"/>
        </w:rPr>
        <w:t>In the report to the department of action taken by the local board of review in special session, the board of review shall report the aggregate valuation adjustments by class of property as well as all other information required by the department to determine if such actions may have substantially altered the equalization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102.16(4)</w:t>
      </w:r>
      <w:r>
        <w:rPr>
          <w:rFonts w:ascii="Times New Roman" w:hAnsi="Times New Roman"/>
          <w:b w:val="false"/>
          <w:i w:val="false"/>
          <w:color w:val="000000"/>
          <w:sz w:val="24"/>
        </w:rPr>
        <w:t> </w:t>
      </w:r>
      <w:r>
        <w:rPr>
          <w:rFonts w:ascii="Times New Roman" w:hAnsi="Times New Roman"/>
          <w:b w:val="false"/>
          <w:i/>
          <w:color w:val="000000"/>
          <w:sz w:val="24"/>
        </w:rPr>
        <w:t xml:space="preserve">Meetings of board of review. </w:t>
      </w:r>
      <w:r>
        <w:rPr>
          <w:rFonts w:ascii="Times New Roman" w:hAnsi="Times New Roman"/>
          <w:b w:val="false"/>
          <w:i w:val="false"/>
          <w:color w:val="000000"/>
          <w:sz w:val="24"/>
        </w:rPr>
        <w:t xml:space="preserve">If the final equalization order does not increase the valuation of any class of property, the board of review is not required to meet during the special session. If the final equalization order increases the valuation of one or more classes of property but no protests are filed by the times specified in Iowa Code section </w:t>
      </w:r>
      <w:hyperlink r:id="rId157">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 the board of review is not required to meet during the special session.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8">
        <w:r>
          <w:rPr>
            <w:rStyle w:val="Hyperlink"/>
            <w:rFonts w:ascii="Times New Roman" w:hAnsi="Times New Roman"/>
            <w:b w:val="false"/>
            <w:i w:val="false"/>
            <w:color w:val="000000"/>
            <w:sz w:val="24"/>
          </w:rPr>
          <w:t>421.17(10)</w:t>
        </w:r>
      </w:hyperlink>
      <w:r>
        <w:rPr>
          <w:rFonts w:ascii="Times New Roman" w:hAnsi="Times New Roman"/>
          <w:b w:val="false"/>
          <w:i w:val="false"/>
          <w:color w:val="000000"/>
          <w:sz w:val="24"/>
        </w:rPr>
        <w:t xml:space="preserve"> and </w:t>
      </w:r>
      <w:hyperlink r:id="rId159">
        <w:r>
          <w:rPr>
            <w:rStyle w:val="Hyperlink"/>
            <w:rFonts w:ascii="Times New Roman" w:hAnsi="Times New Roman"/>
            <w:b w:val="false"/>
            <w:i w:val="false"/>
            <w:color w:val="000000"/>
            <w:sz w:val="24"/>
          </w:rPr>
          <w:t>441.49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701—102.17</w:t>
      </w:r>
      <w:r>
        <w:rPr>
          <w:rFonts w:ascii="Times New Roman" w:hAnsi="Times New Roman"/>
          <w:b/>
          <w:i w:val="false"/>
          <w:color w:val="000000"/>
          <w:sz w:val="24"/>
        </w:rPr>
        <w:t xml:space="preserve">(441) </w:t>
      </w:r>
      <w:r>
        <w:rPr>
          <w:rFonts w:ascii="Times New Roman" w:hAnsi="Times New Roman"/>
          <w:b/>
          <w:i w:val="false"/>
          <w:color w:val="000000"/>
          <w:sz w:val="24"/>
        </w:rPr>
        <w:t xml:space="preserve">Conference boards.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102.17(1)</w:t>
      </w:r>
      <w:r>
        <w:rPr>
          <w:rFonts w:ascii="Times New Roman" w:hAnsi="Times New Roman"/>
          <w:b w:val="false"/>
          <w:i w:val="false"/>
          <w:color w:val="000000"/>
          <w:sz w:val="24"/>
        </w:rPr>
        <w:t> </w:t>
      </w:r>
      <w:r>
        <w:rPr>
          <w:rFonts w:ascii="Times New Roman" w:hAnsi="Times New Roman"/>
          <w:b w:val="false"/>
          <w:i/>
          <w:color w:val="000000"/>
          <w:sz w:val="24"/>
        </w:rPr>
        <w:t xml:space="preserve">Establishment and abolition of office.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As referred to in Iowa Code section </w:t>
      </w:r>
      <w:hyperlink r:id="rId160">
        <w:r>
          <w:rPr>
            <w:rStyle w:val="Hyperlink"/>
            <w:rFonts w:ascii="Times New Roman" w:hAnsi="Times New Roman"/>
            <w:b w:val="false"/>
            <w:i w:val="false"/>
            <w:color w:val="000000"/>
            <w:sz w:val="24"/>
          </w:rPr>
          <w:t>441.1</w:t>
        </w:r>
      </w:hyperlink>
      <w:r>
        <w:rPr>
          <w:rFonts w:ascii="Times New Roman" w:hAnsi="Times New Roman"/>
          <w:b w:val="false"/>
          <w:i w:val="false"/>
          <w:color w:val="000000"/>
          <w:sz w:val="24"/>
        </w:rPr>
        <w:t>, “federal census” includes any special census conducted by the Bureau of the Census of the U.S. Department of Commerce as well as the Bureau’s decennial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60 days of receiving the certified results of a federal census indicating the population of a city having its own assessor has fallen below 10,000, the city council of the city shall repeal the ordinance providing for its own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the office of city assessor is abolished, all moneys in the assessment expense fund and the special appraiser fund shall be transferred to the appropriate accounts in the county assessor’s office, and all equipment and supplies shall be transferred to the county assessor’s office. Employees of the city assessor’s office may, at the discretion of the county assessor, become employees of the county assessor. Any deputy assessor of the city may only be appointed a deputy county assessor if they are eligible for appointment pursuant to Iowa Code sections </w:t>
      </w:r>
      <w:hyperlink r:id="rId161">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and </w:t>
      </w:r>
      <w:hyperlink r:id="rId162">
        <w:r>
          <w:rPr>
            <w:rStyle w:val="Hyperlink"/>
            <w:rFonts w:ascii="Times New Roman" w:hAnsi="Times New Roman"/>
            <w:b w:val="false"/>
            <w:i w:val="false"/>
            <w:color w:val="000000"/>
            <w:sz w:val="24"/>
          </w:rPr>
          <w:t>441.10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102.17(2)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 xml:space="preserve">The members of a city or county conference board shall be as described in Iowa Code section </w:t>
      </w:r>
      <w:hyperlink r:id="rId163">
        <w:r>
          <w:rPr>
            <w:rStyle w:val="Hyperlink"/>
            <w:rFonts w:ascii="Times New Roman" w:hAnsi="Times New Roman"/>
            <w:b w:val="false"/>
            <w:i w:val="false"/>
            <w:color w:val="000000"/>
            <w:sz w:val="24"/>
          </w:rPr>
          <w:t>441.2</w:t>
        </w:r>
      </w:hyperlink>
      <w:r>
        <w:rPr>
          <w:rFonts w:ascii="Times New Roman" w:hAnsi="Times New Roman"/>
          <w:b w:val="false"/>
          <w:i w:val="false"/>
          <w:color w:val="000000"/>
          <w:sz w:val="24"/>
        </w:rPr>
        <w:t>. A member of the board of directors of a school district may serve on the county conference board even though the member lives in a city having its own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102.17(3)</w:t>
      </w:r>
      <w:r>
        <w:rPr>
          <w:rFonts w:ascii="Times New Roman" w:hAnsi="Times New Roman"/>
          <w:b w:val="false"/>
          <w:i w:val="false"/>
          <w:color w:val="000000"/>
          <w:sz w:val="24"/>
        </w:rPr>
        <w:t> </w:t>
      </w:r>
      <w:r>
        <w:rPr>
          <w:rFonts w:ascii="Times New Roman" w:hAnsi="Times New Roman"/>
          <w:b w:val="false"/>
          <w:i/>
          <w:color w:val="000000"/>
          <w:sz w:val="24"/>
        </w:rPr>
        <w:t xml:space="preserve">Voting.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Votes on matters before a conference board shall be by units as provided in Iowa Code section </w:t>
      </w:r>
      <w:hyperlink r:id="rId164">
        <w:r>
          <w:rPr>
            <w:rStyle w:val="Hyperlink"/>
            <w:rFonts w:ascii="Times New Roman" w:hAnsi="Times New Roman"/>
            <w:b w:val="false"/>
            <w:i w:val="false"/>
            <w:color w:val="000000"/>
            <w:sz w:val="24"/>
          </w:rPr>
          <w:t>441.2</w:t>
        </w:r>
      </w:hyperlink>
      <w:r>
        <w:rPr>
          <w:rFonts w:ascii="Times New Roman" w:hAnsi="Times New Roman"/>
          <w:b w:val="false"/>
          <w:i w:val="false"/>
          <w:color w:val="000000"/>
          <w:sz w:val="24"/>
        </w:rPr>
        <w:t>. At least two members of each voting unit must be present in order for the unit to cast a vote. In the event the vote of the members of a voting unit ends in a tie, that unit shall not cast a vote on the particular matter before the conference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member of a conference board is absent from a meeting, the member’s vote may not be cast by another person, except that a mayor pro tem as provided in Iowa Code section </w:t>
      </w:r>
      <w:hyperlink r:id="rId165">
        <w:r>
          <w:rPr>
            <w:rStyle w:val="Hyperlink"/>
            <w:rFonts w:ascii="Times New Roman" w:hAnsi="Times New Roman"/>
            <w:b w:val="false"/>
            <w:i w:val="false"/>
            <w:color w:val="000000"/>
            <w:sz w:val="24"/>
          </w:rPr>
          <w:t>372.14(3)</w:t>
        </w:r>
      </w:hyperlink>
      <w:r>
        <w:rPr>
          <w:rFonts w:ascii="Times New Roman" w:hAnsi="Times New Roman"/>
          <w:b w:val="false"/>
          <w:i w:val="false"/>
          <w:color w:val="000000"/>
          <w:sz w:val="24"/>
        </w:rPr>
        <w:t xml:space="preserve"> may vote for the mayor when the mayor is absent or unable to perform official duties.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6">
        <w:r>
          <w:rPr>
            <w:rStyle w:val="Hyperlink"/>
            <w:rFonts w:ascii="Times New Roman" w:hAnsi="Times New Roman"/>
            <w:b w:val="false"/>
            <w:i w:val="false"/>
            <w:color w:val="000000"/>
            <w:sz w:val="24"/>
          </w:rPr>
          <w:t>441.2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701—102.18</w:t>
      </w:r>
      <w:r>
        <w:rPr>
          <w:rFonts w:ascii="Times New Roman" w:hAnsi="Times New Roman"/>
          <w:b/>
          <w:i w:val="false"/>
          <w:color w:val="000000"/>
          <w:sz w:val="24"/>
        </w:rPr>
        <w:t xml:space="preserve">(441) </w:t>
      </w:r>
      <w:r>
        <w:rPr>
          <w:rFonts w:ascii="Times New Roman" w:hAnsi="Times New Roman"/>
          <w:b/>
          <w:i w:val="false"/>
          <w:color w:val="000000"/>
          <w:sz w:val="24"/>
        </w:rPr>
        <w:t xml:space="preserve">Board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102.18(1)</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Occupation of members. </w:t>
      </w:r>
      <w:r>
        <w:rPr>
          <w:rFonts w:ascii="Times New Roman" w:hAnsi="Times New Roman"/>
          <w:b w:val="false"/>
          <w:i w:val="false"/>
          <w:color w:val="000000"/>
          <w:sz w:val="24"/>
        </w:rPr>
        <w:t>One member of the county board of review must be actively engaged in farming as that member’s primary occupation. However, it is not necessary for a board of review to have as a member one licensed real estate broker and one licensed architect or person experienced in the building and construction field if the person cannot be located after a good-faith effort to do so has been made by the conference board. In determining eligibility for membership on a board of review, a retired person is not considered to be employed in the occupation pursued prior to retirement unless that person remains in reasonable contact with the former occupation, including some participation in matters associated with that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Residency of members. </w:t>
      </w:r>
      <w:r>
        <w:rPr>
          <w:rFonts w:ascii="Times New Roman" w:hAnsi="Times New Roman"/>
          <w:b w:val="false"/>
          <w:i w:val="false"/>
          <w:color w:val="000000"/>
          <w:sz w:val="24"/>
        </w:rPr>
        <w:t>A person must be a resident of the assessing jurisdiction served to qualify for appointment as a member of the board of review. However, a member changing assessing jurisdiction residency after appointment to the board may continue to serve on the board until the member’s current term of office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Appointments—death, resignation, or removal. </w:t>
      </w:r>
      <w:r>
        <w:rPr>
          <w:rFonts w:ascii="Times New Roman" w:hAnsi="Times New Roman"/>
          <w:b w:val="false"/>
          <w:i w:val="false"/>
          <w:color w:val="000000"/>
          <w:sz w:val="24"/>
        </w:rPr>
        <w:t>In the event of the death, resignation, or removal from office of a member of a board of review, the conference board or city council shall appoint a successor to serve the unexpired term of the previous incumbent.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Membership on other boards. </w:t>
      </w:r>
      <w:r>
        <w:rPr>
          <w:rFonts w:ascii="Times New Roman" w:hAnsi="Times New Roman"/>
          <w:b w:val="false"/>
          <w:i w:val="false"/>
          <w:color w:val="000000"/>
          <w:sz w:val="24"/>
        </w:rPr>
        <w:t>A member of a board of review shall not at the same time serve on either the conference board or the examining board or be an employee of the assessor’s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Number of members. </w:t>
      </w:r>
      <w:r>
        <w:rPr>
          <w:rFonts w:ascii="Times New Roman" w:hAnsi="Times New Roman"/>
          <w:b w:val="false"/>
          <w:i w:val="false"/>
          <w:color w:val="000000"/>
          <w:sz w:val="24"/>
        </w:rPr>
        <w:t xml:space="preserve">A conference board or city council may at any time change the composition of a board of review to either three or five members. To reduce membership from five members to three members, the conference board or city council shall not appoint successors to fill the next two vacancies that occur. To increase membership from three members to five members, the conference board or city council shall appoint two additional members whose initial terms shall expire at such times so that no two board members’ terms expire at the end of the same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102.18(2)</w:t>
      </w:r>
      <w:r>
        <w:rPr>
          <w:rFonts w:ascii="Times New Roman" w:hAnsi="Times New Roman"/>
          <w:b w:val="false"/>
          <w:i w:val="false"/>
          <w:color w:val="000000"/>
          <w:sz w:val="24"/>
        </w:rPr>
        <w:t> </w:t>
      </w:r>
      <w:r>
        <w:rPr>
          <w:rFonts w:ascii="Times New Roman" w:hAnsi="Times New Roman"/>
          <w:b w:val="false"/>
          <w:i/>
          <w:color w:val="000000"/>
          <w:sz w:val="24"/>
        </w:rPr>
        <w:t xml:space="preserve">Sessions of boards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board of review shall convene and adjourn as described in Iowa Code section </w:t>
      </w:r>
      <w:hyperlink r:id="rId167">
        <w:r>
          <w:rPr>
            <w:rStyle w:val="Hyperlink"/>
            <w:rFonts w:ascii="Times New Roman" w:hAnsi="Times New Roman"/>
            <w:b w:val="false"/>
            <w:i w:val="false"/>
            <w:color w:val="000000"/>
            <w:sz w:val="24"/>
          </w:rPr>
          <w:t>441.33(1)</w:t>
        </w:r>
      </w:hyperlink>
      <w:r>
        <w:rPr>
          <w:rFonts w:ascii="Times New Roman" w:hAnsi="Times New Roman"/>
          <w:b w:val="false"/>
          <w:i w:val="false"/>
          <w:color w:val="000000"/>
          <w:sz w:val="24"/>
        </w:rPr>
        <w:t>. However, if either date falls on a Saturday, Sunday, or legal holiday, the board of review shall convene or adjourn on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Extended session. If a board of review determines it will be unable to complete its work by May 31, it may request that the director extend its session up to July 15. The request must be signed by a majority of the membership of the board of review and must contain the reasons the board of review cannot complete its work by May 31. During the extended session, a board of review may perform the same functions as during its regular session unless specifically limited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Special session. If a board of review is reconvened by the director pursuant to Iowa Code section </w:t>
      </w:r>
      <w:hyperlink r:id="rId168">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the board of review shall perform those functions specified in the order of the director and shall perform no other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102.18(3)</w:t>
      </w:r>
      <w:r>
        <w:rPr>
          <w:rFonts w:ascii="Times New Roman" w:hAnsi="Times New Roman"/>
          <w:b w:val="false"/>
          <w:i w:val="false"/>
          <w:color w:val="000000"/>
          <w:sz w:val="24"/>
        </w:rPr>
        <w:t> </w:t>
      </w:r>
      <w:r>
        <w:rPr>
          <w:rFonts w:ascii="Times New Roman" w:hAnsi="Times New Roman"/>
          <w:b w:val="false"/>
          <w:i/>
          <w:color w:val="000000"/>
          <w:sz w:val="24"/>
        </w:rPr>
        <w:t xml:space="preserve">Actions initiated by boards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Internal equalization of assessments. </w:t>
      </w:r>
      <w:r>
        <w:rPr>
          <w:rFonts w:ascii="Times New Roman" w:hAnsi="Times New Roman"/>
          <w:b w:val="false"/>
          <w:i w:val="false"/>
          <w:color w:val="000000"/>
          <w:sz w:val="24"/>
        </w:rPr>
        <w:t xml:space="preserve">A board of review in reassessment years as provided in Iowa Code section </w:t>
      </w:r>
      <w:hyperlink r:id="rId169">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has the power to equalize individual assessments as established by the assessor but cannot make percentage adjustments in the aggregate valuations of classes of property. In nonreassessment years, a board of review can adjust the valuation of an entire class of property by adjusting all assessments by a uniform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Omitted assessments. </w:t>
      </w:r>
      <w:r>
        <w:rPr>
          <w:rFonts w:ascii="Times New Roman" w:hAnsi="Times New Roman"/>
          <w:b w:val="false"/>
          <w:i w:val="false"/>
          <w:color w:val="000000"/>
          <w:sz w:val="24"/>
        </w:rPr>
        <w:t xml:space="preserve">A board of review may assess for taxation any property that was not assessed by the assessor, including property that the assessor determines erroneously is not subject to taxation by virtue of enjoying an exempt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Notice to taxpayers. </w:t>
      </w:r>
      <w:r>
        <w:rPr>
          <w:rFonts w:ascii="Times New Roman" w:hAnsi="Times New Roman"/>
          <w:b w:val="false"/>
          <w:i w:val="false"/>
          <w:color w:val="000000"/>
          <w:sz w:val="24"/>
        </w:rPr>
        <w:t xml:space="preserve">If the value of any property is increased by a board of review or a board of review assesses property not previously assessed by the assessor, the person to whom the property is assessed shall be notified by regular mail of the board’s action. The notification shall state that the taxpayer may protest the action by filing a written protest with the board of review within five days of the date of the notice. After at least five days have passed since notifying the taxpayer, the board of review shall meet to take final action on the matter, including the consideration of any protest filed. However, if the valuations of all properties within a class of property are raised or lowered by a uniform percentage in a nonreassessment year, notice to taxpayers shall be provided by newspaper publication as described in Iowa Code section </w:t>
      </w:r>
      <w:hyperlink r:id="rId170">
        <w:r>
          <w:rPr>
            <w:rStyle w:val="Hyperlink"/>
            <w:rFonts w:ascii="Times New Roman" w:hAnsi="Times New Roman"/>
            <w:b w:val="false"/>
            <w:i w:val="false"/>
            <w:color w:val="000000"/>
            <w:sz w:val="24"/>
          </w:rPr>
          <w:t>441.35</w:t>
        </w:r>
      </w:hyperlink>
      <w:r>
        <w:rPr>
          <w:rFonts w:ascii="Times New Roman" w:hAnsi="Times New Roman"/>
          <w:b w:val="false"/>
          <w:i w:val="false"/>
          <w:color w:val="000000"/>
          <w:sz w:val="24"/>
        </w:rPr>
        <w:t xml:space="preserve"> and in the manner specified in Iowa Code section </w:t>
      </w:r>
      <w:hyperlink r:id="rId171">
        <w:r>
          <w:rPr>
            <w:rStyle w:val="Hyperlink"/>
            <w:rFonts w:ascii="Times New Roman" w:hAnsi="Times New Roman"/>
            <w:b w:val="false"/>
            <w:i w:val="false"/>
            <w:color w:val="000000"/>
            <w:sz w:val="24"/>
          </w:rPr>
          <w:t>441.36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102.18(4)</w:t>
      </w:r>
      <w:r>
        <w:rPr>
          <w:rFonts w:ascii="Times New Roman" w:hAnsi="Times New Roman"/>
          <w:b w:val="false"/>
          <w:i w:val="false"/>
          <w:color w:val="000000"/>
          <w:sz w:val="24"/>
        </w:rPr>
        <w:t> </w:t>
      </w:r>
      <w:r>
        <w:rPr>
          <w:rFonts w:ascii="Times New Roman" w:hAnsi="Times New Roman"/>
          <w:b w:val="false"/>
          <w:i/>
          <w:color w:val="000000"/>
          <w:sz w:val="24"/>
        </w:rPr>
        <w:t xml:space="preserve">Appeals to boards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 xml:space="preserve">A board of review may act only upon written protests which have been filed with the board of review in compliance with Iowa Code section </w:t>
      </w:r>
      <w:hyperlink r:id="rId172">
        <w:r>
          <w:rPr>
            <w:rStyle w:val="Hyperlink"/>
            <w:rFonts w:ascii="Times New Roman" w:hAnsi="Times New Roman"/>
            <w:b w:val="false"/>
            <w:i w:val="false"/>
            <w:color w:val="000000"/>
            <w:sz w:val="24"/>
          </w:rPr>
          <w:t>441.37(1)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requirements. </w:t>
      </w:r>
      <w:r>
        <w:rPr>
          <w:rFonts w:ascii="Times New Roman" w:hAnsi="Times New Roman"/>
          <w:b w:val="false"/>
          <w:i w:val="false"/>
          <w:color w:val="000000"/>
          <w:sz w:val="24"/>
        </w:rPr>
        <w:t>Protests must meet the following filing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Protests must be filed within the time frame described in Iowa Code section </w:t>
      </w:r>
      <w:hyperlink r:id="rId173">
        <w:r>
          <w:rPr>
            <w:rStyle w:val="Hyperlink"/>
            <w:rFonts w:ascii="Times New Roman" w:hAnsi="Times New Roman"/>
            <w:b w:val="false"/>
            <w:i w:val="false"/>
            <w:color w:val="000000"/>
            <w:sz w:val="24"/>
          </w:rPr>
          <w:t>441.37(1)</w:t>
        </w:r>
      </w:hyperlink>
      <w:r>
        <w:rPr>
          <w:rFonts w:ascii="Times New Roman" w:hAnsi="Times New Roman"/>
          <w:b w:val="false"/>
          <w:i/>
          <w:color w:val="000000"/>
          <w:sz w:val="24"/>
        </w:rPr>
        <w:t>“a”</w:t>
      </w:r>
      <w:r>
        <w:rPr>
          <w:rFonts w:ascii="Times New Roman" w:hAnsi="Times New Roman"/>
          <w:b w:val="false"/>
          <w:i w:val="false"/>
          <w:color w:val="000000"/>
          <w:sz w:val="24"/>
        </w:rPr>
        <w:t>(1). In the event the due date falls on a Saturday or Sunday, protests filed the following Monday shall be considered to have been timely filed. Protests postmarked by the due date or the following Monday, if applicable, shall also be considered to have been timely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protest shall not be rejected for the sole reason that the protest was not filed using the prescribed form if the protest otherwise complies with Iowa Code section </w:t>
      </w:r>
      <w:hyperlink r:id="rId174">
        <w:r>
          <w:rPr>
            <w:rStyle w:val="Hyperlink"/>
            <w:rFonts w:ascii="Times New Roman" w:hAnsi="Times New Roman"/>
            <w:b w:val="false"/>
            <w:i w:val="false"/>
            <w:color w:val="000000"/>
            <w:sz w:val="24"/>
          </w:rPr>
          <w:t>441.37(1)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written request for an oral hearing must be made at the time of filing the protest. The protester may combine on one form assessment protests on parcels separately assessed if the same grounds are relied upon as the basis for protesting each separate assessment. If an oral hearing is requested on more than one of the protests, the person making the combined protests may request that the oral hearings be held consecutively.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board of review may allow protests to be filed in electronic format. Protests transmitted electronically are subject to the same deadlines as written protests.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Grounds for protest. </w:t>
      </w:r>
      <w:r>
        <w:rPr>
          <w:rFonts w:ascii="Times New Roman" w:hAnsi="Times New Roman"/>
          <w:b w:val="false"/>
          <w:i w:val="false"/>
          <w:color w:val="000000"/>
          <w:sz w:val="24"/>
        </w:rPr>
        <w:t xml:space="preserve">Taxpayers may protest to a board of review on one or more of the grounds specified in Iowa Code section </w:t>
      </w:r>
      <w:hyperlink r:id="rId175">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 The grounds for protest and procedures for considering protests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is not equitable when compared with those of similar properties in the same taxing district. If this ground is a basis for the protest, the protester may identify comparable properties to support the claim. In considering a protest based upon this ground, the board of review should examine carefully all information used to determine the assessment of the subject property, consider any comparable properties, and determine whether the evidence demonstrates the subject property is inequitably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property is assessed at more than the value authorized by law. If this ground is the basis for a protest, the protester may indicate the amount considered to be the actual value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property is not assessable, is exempt from taxes, or is misclassified. If this ground is the basis for a protest, the protester may indicate why the property is exempt, misclassified, or not assessable.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an error in the assessment. An error may include, but is not limited to, listing errors, assessment of subject property for less than authorized by law, or erroneous mathematical calculations. If this ground is the basis for a protest, the protester must indicate the alleged error. A board of review must determine: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an error exists,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How the error might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fraud or misconduct in the assessment. If this ground of protest is used, the protester must state the specific fraud or misconduct alleged, and the board of review must first determine if there is validity to the protester’s allegation. If it is determined that there is fraud in the assessment or that there has been misconduct by the assessor, the board of review shall take action to correct the assessment and report the matter to the director. For purposes of this subrule, “misconduct” means the same as defined in Iowa Code section </w:t>
      </w:r>
      <w:hyperlink r:id="rId176">
        <w:r>
          <w:rPr>
            <w:rStyle w:val="Hyperlink"/>
            <w:rFonts w:ascii="Times New Roman" w:hAnsi="Times New Roman"/>
            <w:b w:val="false"/>
            <w:i w:val="false"/>
            <w:color w:val="000000"/>
            <w:sz w:val="24"/>
          </w:rPr>
          <w:t>441.9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Protests may be filed for previous years if the protester discovers that a mathematical or clerical error was made in the assessment, provided the taxes have not been fully paid or otherwise legally discharged.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Disposition of protests. </w:t>
      </w:r>
      <w:r>
        <w:rPr>
          <w:rFonts w:ascii="Times New Roman" w:hAnsi="Times New Roman"/>
          <w:b w:val="false"/>
          <w:i w:val="false"/>
          <w:color w:val="000000"/>
          <w:sz w:val="24"/>
        </w:rPr>
        <w:t>After reaching a decision on a protest, the board of review shall give the taxpayer written notice of its decision. The decision shall be mailed no later than three days after the board of review’s adjournment. The notice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valuation and classification of the property as determined by the board of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protest was based on the ground the property was not assessable, the notice shall state whether the exemption is allowed and the value at which the property would be assessed in the absence of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specific reasons for the board’s decision with respect to the protest.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That the board of review’s decision may be appealed to either the property assessment appeal board or district court within 20 days of the board’s adjournment or May 31, whichever date is later. If the adjournment date is known, the date shall be stated on the notice. If the adjournment date is not known, the notice shall state the date will be no earlier than May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from the board of review to the property assessment appeal board may be made pursuant to the provisions of Iowa Code section </w:t>
      </w:r>
      <w:hyperlink r:id="rId177">
        <w:r>
          <w:rPr>
            <w:rStyle w:val="Hyperlink"/>
            <w:rFonts w:ascii="Times New Roman" w:hAnsi="Times New Roman"/>
            <w:b w:val="false"/>
            <w:i w:val="false"/>
            <w:color w:val="000000"/>
            <w:sz w:val="24"/>
          </w:rPr>
          <w:t>441.37A</w:t>
        </w:r>
      </w:hyperlink>
      <w:r>
        <w:rPr>
          <w:rFonts w:ascii="Times New Roman" w:hAnsi="Times New Roman"/>
          <w:b w:val="false"/>
          <w:i w:val="false"/>
          <w:color w:val="000000"/>
          <w:sz w:val="24"/>
        </w:rPr>
        <w:t xml:space="preserve"> and </w:t>
      </w:r>
      <w:hyperlink r:id="rId178">
        <w:r>
          <w:rPr>
            <w:rStyle w:val="Hyperlink"/>
            <w:rFonts w:ascii="Times New Roman" w:hAnsi="Times New Roman"/>
            <w:b w:val="false"/>
            <w:i w:val="false"/>
            <w:color w:val="000000"/>
            <w:sz w:val="24"/>
          </w:rPr>
          <w:t>701—Chapter 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from the board of review to the district court may be made pursuant to the provisions of Iowa Code section </w:t>
      </w:r>
      <w:hyperlink r:id="rId179">
        <w:r>
          <w:rPr>
            <w:rStyle w:val="Hyperlink"/>
            <w:rFonts w:ascii="Times New Roman" w:hAnsi="Times New Roman"/>
            <w:b w:val="false"/>
            <w:i w:val="false"/>
            <w:color w:val="000000"/>
            <w:sz w:val="24"/>
          </w:rPr>
          <w:t>441.38</w:t>
        </w:r>
      </w:hyperlink>
      <w:r>
        <w:rPr>
          <w:rFonts w:ascii="Times New Roman" w:hAnsi="Times New Roman"/>
          <w:b w:val="false"/>
          <w:i w:val="false"/>
          <w:color w:val="000000"/>
          <w:sz w:val="24"/>
        </w:rPr>
        <w:t>. The appeal shall be filed in the county where the property is located. Notice of the appeal shall be served on the chairperson, presiding officer, or clerk of the board of review after the written notice of appeal has been filed with the clerk of district court.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0">
        <w:r>
          <w:rPr>
            <w:rStyle w:val="Hyperlink"/>
            <w:rFonts w:ascii="Times New Roman" w:hAnsi="Times New Roman"/>
            <w:b w:val="false"/>
            <w:i w:val="false"/>
            <w:color w:val="000000"/>
            <w:sz w:val="24"/>
          </w:rPr>
          <w:t>441.31</w:t>
        </w:r>
      </w:hyperlink>
      <w:r>
        <w:rPr>
          <w:rFonts w:ascii="Times New Roman" w:hAnsi="Times New Roman"/>
          <w:b w:val="false"/>
          <w:i w:val="false"/>
          <w:color w:val="000000"/>
          <w:sz w:val="24"/>
        </w:rPr>
        <w:t xml:space="preserve"> through </w:t>
      </w:r>
      <w:hyperlink r:id="rId181">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 xml:space="preserve"> and </w:t>
      </w:r>
      <w:hyperlink r:id="rId182">
        <w:r>
          <w:rPr>
            <w:rStyle w:val="Hyperlink"/>
            <w:rFonts w:ascii="Times New Roman" w:hAnsi="Times New Roman"/>
            <w:b w:val="false"/>
            <w:i w:val="false"/>
            <w:color w:val="000000"/>
            <w:sz w:val="24"/>
          </w:rPr>
          <w:t>441.38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701—102.19</w:t>
      </w:r>
      <w:r>
        <w:rPr>
          <w:rFonts w:ascii="Times New Roman" w:hAnsi="Times New Roman"/>
          <w:b/>
          <w:i w:val="false"/>
          <w:color w:val="000000"/>
          <w:sz w:val="24"/>
        </w:rPr>
        <w:t xml:space="preserve">(428,441) </w:t>
      </w:r>
      <w:r>
        <w:rPr>
          <w:rFonts w:ascii="Times New Roman" w:hAnsi="Times New Roman"/>
          <w:b/>
          <w:i w:val="false"/>
          <w:color w:val="000000"/>
          <w:sz w:val="24"/>
        </w:rPr>
        <w:t xml:space="preserve">Assessors.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102.19(1)</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An assessor shall not act as a private appraiser or as a real estate broker or option agent in the jurisdiction in which serving as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102.19(2)</w:t>
      </w:r>
      <w:r>
        <w:rPr>
          <w:rFonts w:ascii="Times New Roman" w:hAnsi="Times New Roman"/>
          <w:b w:val="false"/>
          <w:i w:val="false"/>
          <w:color w:val="000000"/>
          <w:sz w:val="24"/>
        </w:rPr>
        <w:t> </w:t>
      </w:r>
      <w:r>
        <w:rPr>
          <w:rFonts w:ascii="Times New Roman" w:hAnsi="Times New Roman"/>
          <w:b w:val="false"/>
          <w:i/>
          <w:color w:val="000000"/>
          <w:sz w:val="24"/>
        </w:rPr>
        <w:t xml:space="preserve">Listing of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Forms. Assessors may design and use their own forms in lieu of those prescribed by the department provided that the forms contain all information contained on the prescribed form, are not substantially different from the prescribed form, and are approved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rolls. Assessment rolls must be prepared in duplicate for each property in a reassessment year as defined in Iowa Code section </w:t>
      </w:r>
      <w:hyperlink r:id="rId183">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However, the copy of the roll does not have to be issued to a taxpayer unless there is a change in the assessment or the taxpayer requests the issuance of the duplicate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date specified in Iowa Code chapter </w:t>
      </w:r>
      <w:hyperlink r:id="rId184">
        <w:r>
          <w:rPr>
            <w:rStyle w:val="Hyperlink"/>
            <w:rFonts w:ascii="Times New Roman" w:hAnsi="Times New Roman"/>
            <w:b w:val="false"/>
            <w:i w:val="false"/>
            <w:color w:val="000000"/>
            <w:sz w:val="24"/>
          </w:rPr>
          <w:t>441</w:t>
        </w:r>
      </w:hyperlink>
      <w:r>
        <w:rPr>
          <w:rFonts w:ascii="Times New Roman" w:hAnsi="Times New Roman"/>
          <w:b w:val="false"/>
          <w:i w:val="false"/>
          <w:color w:val="000000"/>
          <w:sz w:val="24"/>
        </w:rPr>
        <w:t xml:space="preserve"> falls on a Saturday, Sunday, or legal holiday, the action required to be completed on or before that date shall be considered to have been timely completed if performed on or before the following day which is not a Saturday, Sunday, or holiday.</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85">
        <w:r>
          <w:rPr>
            <w:rStyle w:val="Hyperlink"/>
            <w:rFonts w:ascii="Times New Roman" w:hAnsi="Times New Roman"/>
            <w:b w:val="false"/>
            <w:i w:val="false"/>
            <w:color w:val="000000"/>
            <w:sz w:val="24"/>
          </w:rPr>
          <w:t>428</w:t>
        </w:r>
      </w:hyperlink>
      <w:r>
        <w:rPr>
          <w:rFonts w:ascii="Times New Roman" w:hAnsi="Times New Roman"/>
          <w:b w:val="false"/>
          <w:i w:val="false"/>
          <w:color w:val="000000"/>
          <w:sz w:val="24"/>
        </w:rPr>
        <w:t xml:space="preserve"> and </w:t>
      </w:r>
      <w:hyperlink r:id="rId186">
        <w:r>
          <w:rPr>
            <w:rStyle w:val="Hyperlink"/>
            <w:rFonts w:ascii="Times New Roman" w:hAnsi="Times New Roman"/>
            <w:b w:val="false"/>
            <w:i w:val="false"/>
            <w:color w:val="000000"/>
            <w:sz w:val="24"/>
          </w:rPr>
          <w:t>441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701—102.20</w:t>
      </w:r>
      <w:r>
        <w:rPr>
          <w:rFonts w:ascii="Times New Roman" w:hAnsi="Times New Roman"/>
          <w:b/>
          <w:i w:val="false"/>
          <w:color w:val="000000"/>
          <w:sz w:val="24"/>
        </w:rPr>
        <w:t xml:space="preserve">(421,428,441) </w:t>
      </w:r>
      <w:r>
        <w:rPr>
          <w:rFonts w:ascii="Times New Roman" w:hAnsi="Times New Roman"/>
          <w:b/>
          <w:i w:val="false"/>
          <w:color w:val="000000"/>
          <w:sz w:val="24"/>
        </w:rPr>
        <w:t xml:space="preserve">Valuation of dual classification property. </w:t>
      </w:r>
      <w:r>
        <w:rPr>
          <w:rFonts w:ascii="Times New Roman" w:hAnsi="Times New Roman"/>
          <w:b w:val="false"/>
          <w:i w:val="false"/>
          <w:color w:val="000000"/>
          <w:sz w:val="24"/>
        </w:rPr>
        <w:t xml:space="preserve">Real estate with a dual classification of commercial/residential or industrial/residential shall be assessed at its actual value as defined in Iowa Code section </w:t>
      </w:r>
      <w:hyperlink r:id="rId187">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w:t>
      </w:r>
      <w:r>
        <w:rPr>
          <w:rFonts w:ascii="Times New Roman" w:hAnsi="Times New Roman"/>
          <w:b w:val="false"/>
          <w:i w:val="false"/>
          <w:color w:val="000000"/>
          <w:sz w:val="24"/>
        </w:rPr>
        <w:t> </w:t>
      </w:r>
      <w:r>
        <w:rPr>
          <w:rFonts w:ascii="Times New Roman" w:hAnsi="Times New Roman"/>
          <w:b w:val="false"/>
          <w:i/>
          <w:color w:val="000000"/>
          <w:sz w:val="24"/>
        </w:rPr>
        <w:t xml:space="preserve">Allocation of dual classification values. </w:t>
      </w:r>
      <w:r>
        <w:rPr>
          <w:rFonts w:ascii="Times New Roman" w:hAnsi="Times New Roman"/>
          <w:b w:val="false"/>
          <w:i w:val="false"/>
          <w:color w:val="000000"/>
          <w:sz w:val="24"/>
        </w:rPr>
        <w:t>The assessor shall value as a whole properties that have portions classified as residential and portions classified as commercial or industrial. After the assessor has assigned a value to the property, the value shall be allocated between the two classes of property based on the appropriate appraisal methodology. The assessor shall allocate land value proportionately by class.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102.20(2)</w:t>
      </w:r>
      <w:r>
        <w:rPr>
          <w:rFonts w:ascii="Times New Roman" w:hAnsi="Times New Roman"/>
          <w:b w:val="false"/>
          <w:i w:val="false"/>
          <w:color w:val="000000"/>
          <w:sz w:val="24"/>
        </w:rPr>
        <w:t> </w:t>
      </w:r>
      <w:r>
        <w:rPr>
          <w:rFonts w:ascii="Times New Roman" w:hAnsi="Times New Roman"/>
          <w:b w:val="false"/>
          <w:i/>
          <w:color w:val="000000"/>
          <w:sz w:val="24"/>
        </w:rPr>
        <w:t xml:space="preserve">Notice of valuation. </w:t>
      </w:r>
      <w:r>
        <w:rPr>
          <w:rFonts w:ascii="Times New Roman" w:hAnsi="Times New Roman"/>
          <w:b w:val="false"/>
          <w:i w:val="false"/>
          <w:color w:val="000000"/>
          <w:sz w:val="24"/>
        </w:rPr>
        <w:t xml:space="preserve">The valuation notice issued pursuant to Iowa Code section </w:t>
      </w:r>
      <w:hyperlink r:id="rId188">
        <w:r>
          <w:rPr>
            <w:rStyle w:val="Hyperlink"/>
            <w:rFonts w:ascii="Times New Roman" w:hAnsi="Times New Roman"/>
            <w:b w:val="false"/>
            <w:i w:val="false"/>
            <w:color w:val="000000"/>
            <w:sz w:val="24"/>
          </w:rPr>
          <w:t>441.23</w:t>
        </w:r>
      </w:hyperlink>
      <w:r>
        <w:rPr>
          <w:rFonts w:ascii="Times New Roman" w:hAnsi="Times New Roman"/>
          <w:b w:val="false"/>
          <w:i w:val="false"/>
          <w:color w:val="000000"/>
          <w:sz w:val="24"/>
        </w:rPr>
        <w:t xml:space="preserve"> shall include a breakdown of the valuation by class for the current year and the prior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w:t>
      </w:r>
      <w:r>
        <w:rPr>
          <w:rFonts w:ascii="Times New Roman" w:hAnsi="Times New Roman"/>
          <w:b w:val="false"/>
          <w:i w:val="false"/>
          <w:color w:val="000000"/>
          <w:sz w:val="24"/>
        </w:rPr>
        <w:t> </w:t>
      </w:r>
      <w:r>
        <w:rPr>
          <w:rFonts w:ascii="Times New Roman" w:hAnsi="Times New Roman"/>
          <w:b w:val="false"/>
          <w:i/>
          <w:color w:val="000000"/>
          <w:sz w:val="24"/>
        </w:rPr>
        <w:t xml:space="preserve">Protest of assessment. </w:t>
      </w:r>
      <w:r>
        <w:rPr>
          <w:rFonts w:ascii="Times New Roman" w:hAnsi="Times New Roman"/>
          <w:b w:val="false"/>
          <w:i w:val="false"/>
          <w:color w:val="000000"/>
          <w:sz w:val="24"/>
        </w:rPr>
        <w:t xml:space="preserve">The valuation and assessment of property with a dual classification shall be considered one assessment, and any protest of assessment brought under Iowa Code section </w:t>
      </w:r>
      <w:hyperlink r:id="rId189">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 xml:space="preserve"> or subsequent appeal must be made on the entire assessment. Protests of assessments on the valuation of only one class of property are not permitted. The board of review shall review the valuation in total as both classifications are subject to the board’s adjustment in any review proceeding. Likewise, any tribunal or court reviewing the board’s decision shall base its review on the entire assessment.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0">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191">
        <w:r>
          <w:rPr>
            <w:rStyle w:val="Hyperlink"/>
            <w:rFonts w:ascii="Times New Roman" w:hAnsi="Times New Roman"/>
            <w:b w:val="false"/>
            <w:i w:val="false"/>
            <w:color w:val="000000"/>
            <w:sz w:val="24"/>
          </w:rPr>
          <w:t>428.4</w:t>
        </w:r>
      </w:hyperlink>
      <w:r>
        <w:rPr>
          <w:rFonts w:ascii="Times New Roman" w:hAnsi="Times New Roman"/>
          <w:b w:val="false"/>
          <w:i w:val="false"/>
          <w:color w:val="000000"/>
          <w:sz w:val="24"/>
        </w:rPr>
        <w:t xml:space="preserve"> and </w:t>
      </w:r>
      <w:hyperlink r:id="rId192">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701—102.21</w:t>
      </w:r>
      <w:r>
        <w:rPr>
          <w:rFonts w:ascii="Times New Roman" w:hAnsi="Times New Roman"/>
          <w:b/>
          <w:i w:val="false"/>
          <w:color w:val="000000"/>
          <w:sz w:val="24"/>
        </w:rPr>
        <w:t xml:space="preserve">(441,443) </w:t>
      </w:r>
      <w:r>
        <w:rPr>
          <w:rFonts w:ascii="Times New Roman" w:hAnsi="Times New Roman"/>
          <w:b/>
          <w:i w:val="false"/>
          <w:color w:val="000000"/>
          <w:sz w:val="24"/>
        </w:rPr>
        <w:t xml:space="preserve">Omitted assessments.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102.21(1)</w:t>
      </w:r>
      <w:r>
        <w:rPr>
          <w:rFonts w:ascii="Times New Roman" w:hAnsi="Times New Roman"/>
          <w:b w:val="false"/>
          <w:i w:val="false"/>
          <w:color w:val="000000"/>
          <w:sz w:val="24"/>
        </w:rPr>
        <w:t> </w:t>
      </w:r>
      <w:r>
        <w:rPr>
          <w:rFonts w:ascii="Times New Roman" w:hAnsi="Times New Roman"/>
          <w:b w:val="false"/>
          <w:i/>
          <w:color w:val="000000"/>
          <w:sz w:val="24"/>
        </w:rPr>
        <w:t xml:space="preserve">Property subject to omitted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Land and buildings. </w:t>
      </w:r>
      <w:r>
        <w:rPr>
          <w:rFonts w:ascii="Times New Roman" w:hAnsi="Times New Roman"/>
          <w:b w:val="false"/>
          <w:i w:val="false"/>
          <w:color w:val="000000"/>
          <w:sz w:val="24"/>
        </w:rPr>
        <w:t>An omitted assessment can be made only if land or buildings were not listed and assessed by the assessor. The failure to list and assess an entire building is an omission for which an omitted assessment can be made even if the land upon which the building is located has been listed and assessed. However, the failure to consider the value added as a result of an improvement made does not constitute an omission for which an omitted assessment can be made if the building or land to which the improvement was made has been listed and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Previously exempt property. </w:t>
      </w:r>
      <w:r>
        <w:rPr>
          <w:rFonts w:ascii="Times New Roman" w:hAnsi="Times New Roman"/>
          <w:b w:val="false"/>
          <w:i w:val="false"/>
          <w:color w:val="000000"/>
          <w:sz w:val="24"/>
        </w:rPr>
        <w:t>Property that has been erroneously determined to be exempt from taxation may be restored to taxation by the making of an omitted assessment. An omitted assessment is also made to restore to taxation previously exempt property that ceases to be eligible for an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w:t>
      </w:r>
      <w:r>
        <w:rPr>
          <w:rFonts w:ascii="Times New Roman" w:hAnsi="Times New Roman"/>
          <w:b w:val="false"/>
          <w:i w:val="false"/>
          <w:color w:val="000000"/>
          <w:sz w:val="24"/>
        </w:rPr>
        <w:t> </w:t>
      </w:r>
      <w:r>
        <w:rPr>
          <w:rFonts w:ascii="Times New Roman" w:hAnsi="Times New Roman"/>
          <w:b w:val="false"/>
          <w:i/>
          <w:color w:val="000000"/>
          <w:sz w:val="24"/>
        </w:rPr>
        <w:t xml:space="preserve">Officials authorized to make an omitted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Local board of review. </w:t>
      </w:r>
      <w:r>
        <w:rPr>
          <w:rFonts w:ascii="Times New Roman" w:hAnsi="Times New Roman"/>
          <w:b w:val="false"/>
          <w:i w:val="false"/>
          <w:color w:val="000000"/>
          <w:sz w:val="24"/>
        </w:rPr>
        <w:t>A local board of review may make an omitted assessment of property during its regular session only if the property was not listed and assessed as of January 1 of the current assessment year.</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During its regular session, which begins May 1, 2026, a local board of review may make an omitted assessment only of property that was not assessed by the assessor as of January 1, 2026. During that session, the board of review could not make an omitted assessment for an assessment year prior to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County auditor and local assessor. </w:t>
      </w:r>
      <w:r>
        <w:rPr>
          <w:rFonts w:ascii="Times New Roman" w:hAnsi="Times New Roman"/>
          <w:b w:val="false"/>
          <w:i w:val="false"/>
          <w:color w:val="000000"/>
          <w:sz w:val="24"/>
        </w:rPr>
        <w:t>The county auditor and local assessor may make an omitted assessment. However, no omitted assessment can be made by the county auditor or local assessor if taxes based on the assessment year in question have been paid or otherwise legally discharged.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If a tract of land was listed and assessed and taxes levied against that assessment have been paid or legally discharged, no omitted assessment can be made of a building located upon that tract of land even though the building was not listed and assessed at the time the land was listed and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County treasurer. </w:t>
      </w:r>
      <w:r>
        <w:rPr>
          <w:rFonts w:ascii="Times New Roman" w:hAnsi="Times New Roman"/>
          <w:b w:val="false"/>
          <w:i w:val="false"/>
          <w:color w:val="000000"/>
          <w:sz w:val="24"/>
        </w:rPr>
        <w:t>The county treasurer may make an omitted assessment within two years from the date the tax list that should have contained the assessment should have been delivered to the county treasurer.</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For the 2023 assessment year, the tax list is to be delivered to the county treasurer on or before June 30, 2024. Thus, the county treasurer may make an omitted assessment for the 2023 assessment year at any time on or before June 30, 2026. The county treasurer may make an omitted assessment of a building even if taxes levied against the land upon which the building is located have been paid or legally discharged. The county treasurer may not make an omitted assessment if the omitted property is no longer owned by the person who owned the property on January 1 of the year the original assessment should have been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Department. </w:t>
      </w:r>
      <w:r>
        <w:rPr>
          <w:rFonts w:ascii="Times New Roman" w:hAnsi="Times New Roman"/>
          <w:b w:val="false"/>
          <w:i w:val="false"/>
          <w:color w:val="000000"/>
          <w:sz w:val="24"/>
        </w:rPr>
        <w:t>The department may make an omitted assessment of any property assessable by the department at any time within two years from the date the assessment should have been made.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93">
        <w:r>
          <w:rPr>
            <w:rStyle w:val="Hyperlink"/>
            <w:rFonts w:ascii="Times New Roman" w:hAnsi="Times New Roman"/>
            <w:b w:val="false"/>
            <w:i w:val="false"/>
            <w:color w:val="000000"/>
            <w:sz w:val="24"/>
          </w:rPr>
          <w:t>440</w:t>
        </w:r>
      </w:hyperlink>
      <w:r>
        <w:rPr>
          <w:rFonts w:ascii="Times New Roman" w:hAnsi="Times New Roman"/>
          <w:b w:val="false"/>
          <w:i w:val="false"/>
          <w:color w:val="000000"/>
          <w:sz w:val="24"/>
        </w:rPr>
        <w:t xml:space="preserve"> and sections </w:t>
      </w:r>
      <w:hyperlink r:id="rId194">
        <w:r>
          <w:rPr>
            <w:rStyle w:val="Hyperlink"/>
            <w:rFonts w:ascii="Times New Roman" w:hAnsi="Times New Roman"/>
            <w:b w:val="false"/>
            <w:i w:val="false"/>
            <w:color w:val="000000"/>
            <w:sz w:val="24"/>
          </w:rPr>
          <w:t>443.6</w:t>
        </w:r>
      </w:hyperlink>
      <w:r>
        <w:rPr>
          <w:rFonts w:ascii="Times New Roman" w:hAnsi="Times New Roman"/>
          <w:b w:val="false"/>
          <w:i w:val="false"/>
          <w:color w:val="000000"/>
          <w:sz w:val="24"/>
        </w:rPr>
        <w:t xml:space="preserve"> through </w:t>
      </w:r>
      <w:hyperlink r:id="rId195">
        <w:r>
          <w:rPr>
            <w:rStyle w:val="Hyperlink"/>
            <w:rFonts w:ascii="Times New Roman" w:hAnsi="Times New Roman"/>
            <w:b w:val="false"/>
            <w:i w:val="false"/>
            <w:color w:val="000000"/>
            <w:sz w:val="24"/>
          </w:rPr>
          <w:t>443.15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701—102.22</w:t>
      </w:r>
      <w:r>
        <w:rPr>
          <w:rFonts w:ascii="Times New Roman" w:hAnsi="Times New Roman"/>
          <w:b/>
          <w:i w:val="false"/>
          <w:color w:val="000000"/>
          <w:sz w:val="24"/>
        </w:rPr>
        <w:t xml:space="preserve">(441) </w:t>
      </w:r>
      <w:r>
        <w:rPr>
          <w:rFonts w:ascii="Times New Roman" w:hAnsi="Times New Roman"/>
          <w:b/>
          <w:i w:val="false"/>
          <w:color w:val="000000"/>
          <w:sz w:val="24"/>
        </w:rPr>
        <w:t xml:space="preserve">Assessor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102.22(1)</w:t>
      </w:r>
      <w:r>
        <w:rPr>
          <w:rFonts w:ascii="Times New Roman" w:hAnsi="Times New Roman"/>
          <w:b w:val="false"/>
          <w:i w:val="false"/>
          <w:color w:val="000000"/>
          <w:sz w:val="24"/>
        </w:rPr>
        <w:t> </w:t>
      </w:r>
      <w:r>
        <w:rPr>
          <w:rFonts w:ascii="Times New Roman" w:hAnsi="Times New Roman"/>
          <w:b w:val="false"/>
          <w:i w:val="false"/>
          <w:color w:val="000000"/>
          <w:sz w:val="24"/>
        </w:rPr>
        <w:t>The assessor shall determine the value of real property in accordance with rules adopted by the department and in accordance with forms and guidelines contained in the Iowa Real Property Appraisal Manual prepared by the department. The assessor may use an alternative manual to value property if it is a unique type of property not covered in the Iowa Real Property Appraisal Manual prepared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102.22(2)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conference board disputes the determination of the department under Iowa Code section </w:t>
      </w:r>
      <w:hyperlink r:id="rId196">
        <w:r>
          <w:rPr>
            <w:rStyle w:val="Hyperlink"/>
            <w:rFonts w:ascii="Times New Roman" w:hAnsi="Times New Roman"/>
            <w:b w:val="false"/>
            <w:i w:val="false"/>
            <w:color w:val="000000"/>
            <w:sz w:val="24"/>
          </w:rPr>
          <w:t>441.21(1)</w:t>
        </w:r>
      </w:hyperlink>
      <w:r>
        <w:rPr>
          <w:rFonts w:ascii="Times New Roman" w:hAnsi="Times New Roman"/>
          <w:b w:val="false"/>
          <w:i/>
          <w:color w:val="000000"/>
          <w:sz w:val="24"/>
        </w:rPr>
        <w:t>“i,”</w:t>
      </w:r>
      <w:r>
        <w:rPr>
          <w:rFonts w:ascii="Times New Roman" w:hAnsi="Times New Roman"/>
          <w:b w:val="false"/>
          <w:i w:val="false"/>
          <w:color w:val="000000"/>
          <w:sz w:val="24"/>
        </w:rPr>
        <w:t xml:space="preserve"> the chairperson of the conference board may appeal the determination to the director under </w:t>
      </w:r>
      <w:hyperlink r:id="rId197">
        <w:r>
          <w:rPr>
            <w:rStyle w:val="Hyperlink"/>
            <w:rFonts w:ascii="Times New Roman" w:hAnsi="Times New Roman"/>
            <w:b w:val="false"/>
            <w:i w:val="false"/>
            <w:color w:val="000000"/>
            <w:sz w:val="24"/>
          </w:rPr>
          <w:t>701—Chapter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8">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701—102.23</w:t>
      </w:r>
      <w:r>
        <w:rPr>
          <w:rFonts w:ascii="Times New Roman" w:hAnsi="Times New Roman"/>
          <w:b/>
          <w:i w:val="false"/>
          <w:color w:val="000000"/>
          <w:sz w:val="24"/>
        </w:rPr>
        <w:t xml:space="preserve">(441) </w:t>
      </w:r>
      <w:r>
        <w:rPr>
          <w:rFonts w:ascii="Times New Roman" w:hAnsi="Times New Roman"/>
          <w:b/>
          <w:i w:val="false"/>
          <w:color w:val="000000"/>
          <w:sz w:val="24"/>
        </w:rPr>
        <w:t xml:space="preserve">Assessor shall not assess own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102.23(1)</w:t>
      </w:r>
      <w:r>
        <w:rPr>
          <w:rFonts w:ascii="Times New Roman" w:hAnsi="Times New Roman"/>
          <w:b w:val="false"/>
          <w:i w:val="false"/>
          <w:color w:val="000000"/>
          <w:sz w:val="24"/>
        </w:rPr>
        <w:t> </w:t>
      </w:r>
      <w:r>
        <w:rPr>
          <w:rFonts w:ascii="Times New Roman" w:hAnsi="Times New Roman"/>
          <w:b w:val="false"/>
          <w:i/>
          <w:color w:val="000000"/>
          <w:sz w:val="24"/>
        </w:rPr>
        <w:t xml:space="preserve">Assessor and deputy assessor prohibited from assessing own property. </w:t>
      </w:r>
      <w:r>
        <w:rPr>
          <w:rFonts w:ascii="Times New Roman" w:hAnsi="Times New Roman"/>
          <w:b w:val="false"/>
          <w:i w:val="false"/>
          <w:color w:val="000000"/>
          <w:sz w:val="24"/>
        </w:rPr>
        <w:t>An assessor or deputy assessor shall not personally assess a property if the assessor or deputy assessor owns the property, has a financial interest in the property, or has a financial interest in the entity that owns the property. The assessing jurisdiction shall pay all costs and expenses associated with the assessment of the above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102.23(2)</w:t>
      </w:r>
      <w:r>
        <w:rPr>
          <w:rFonts w:ascii="Times New Roman" w:hAnsi="Times New Roman"/>
          <w:b w:val="false"/>
          <w:i w:val="false"/>
          <w:color w:val="000000"/>
          <w:sz w:val="24"/>
        </w:rPr>
        <w:t> </w:t>
      </w:r>
      <w:r>
        <w:rPr>
          <w:rFonts w:ascii="Times New Roman" w:hAnsi="Times New Roman"/>
          <w:b w:val="false"/>
          <w:i/>
          <w:color w:val="000000"/>
          <w:sz w:val="24"/>
        </w:rPr>
        <w:t xml:space="preserve">Certification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 later than January 1 of each year, assessors shall certify to the director that the assessor did not personally assess the following property in the previous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Property owned by the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in which the assessor has a financial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Property owned by an entity in which the assessor has a financial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 later than January 1 of each year, deputy assessors shall certify to the director that the deputy assessor did not personally assess the following property in the previous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Property owned by the deputy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in which the deputy assessor has a financial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Property owned by an entity in which the deputy assessor has a financial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Assessors and deputy assessors shall use forms and procedures prescribed and provided by the director for the certifications described in paragraphs </w:t>
      </w:r>
      <w:hyperlink r:id="rId199">
        <w:r>
          <w:rPr>
            <w:rStyle w:val="Hyperlink"/>
            <w:rFonts w:ascii="Times New Roman" w:hAnsi="Times New Roman"/>
            <w:b w:val="false"/>
            <w:i w:val="false"/>
            <w:color w:val="000000"/>
            <w:sz w:val="24"/>
          </w:rPr>
          <w:t>102.23(2)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102.23(3)</w:t>
      </w:r>
      <w:r>
        <w:rPr>
          <w:rFonts w:ascii="Times New Roman" w:hAnsi="Times New Roman"/>
          <w:b w:val="false"/>
          <w:i w:val="false"/>
          <w:color w:val="000000"/>
          <w:sz w:val="24"/>
        </w:rPr>
        <w:t> </w:t>
      </w:r>
      <w:r>
        <w:rPr>
          <w:rFonts w:ascii="Times New Roman" w:hAnsi="Times New Roman"/>
          <w:b w:val="false"/>
          <w:i/>
          <w:color w:val="000000"/>
          <w:sz w:val="24"/>
        </w:rPr>
        <w:t xml:space="preserve">Powers and duties of director. </w:t>
      </w:r>
      <w:r>
        <w:rPr>
          <w:rFonts w:ascii="Times New Roman" w:hAnsi="Times New Roman"/>
          <w:b w:val="false"/>
          <w:i w:val="false"/>
          <w:color w:val="000000"/>
          <w:sz w:val="24"/>
        </w:rPr>
        <w:t xml:space="preserve">The director shall have and assume all of the powers and duties under Iowa Code section </w:t>
      </w:r>
      <w:hyperlink r:id="rId200">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in administering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102.23(4)</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 the following definitions shall govern: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interest”</w:t>
      </w:r>
      <w:r>
        <w:rPr>
          <w:rFonts w:ascii="Times New Roman" w:hAnsi="Times New Roman"/>
          <w:b w:val="false"/>
          <w:i/>
          <w:color w:val="000000"/>
          <w:sz w:val="24"/>
          <w:u w:val="single"/>
        </w:rPr>
        <w:t> </w:t>
      </w:r>
      <w:r>
        <w:rPr>
          <w:rFonts w:ascii="Times New Roman" w:hAnsi="Times New Roman"/>
          <w:b w:val="false"/>
          <w:i w:val="false"/>
          <w:color w:val="000000"/>
          <w:sz w:val="24"/>
        </w:rPr>
        <w:t>includes but is not limited to the holding of legal title to real property or any ownership interest in an entity that holds legal title to real property. Notwithstanding the preceding sentence, ownership interest in an entity shall not be deemed a “financial interest” when a person’s ownership interest equals less than 10 percent of the entity’s total ownership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“Personally assess”</w:t>
      </w:r>
      <w:r>
        <w:rPr>
          <w:rFonts w:ascii="Times New Roman" w:hAnsi="Times New Roman"/>
          <w:b w:val="false"/>
          <w:i/>
          <w:color w:val="000000"/>
          <w:sz w:val="24"/>
          <w:u w:val="single"/>
        </w:rPr>
        <w:t> </w:t>
      </w:r>
      <w:r>
        <w:rPr>
          <w:rFonts w:ascii="Times New Roman" w:hAnsi="Times New Roman"/>
          <w:b w:val="false"/>
          <w:i w:val="false"/>
          <w:color w:val="000000"/>
          <w:sz w:val="24"/>
        </w:rPr>
        <w:t>means engaging in the listing, valuation, and classification of real property.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1">
        <w:r>
          <w:rPr>
            <w:rStyle w:val="Hyperlink"/>
            <w:rFonts w:ascii="Times New Roman" w:hAnsi="Times New Roman"/>
            <w:b w:val="false"/>
            <w:i w:val="false"/>
            <w:color w:val="000000"/>
            <w:sz w:val="24"/>
          </w:rPr>
          <w:t>441.17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701—102.24</w:t>
      </w:r>
      <w:r>
        <w:rPr>
          <w:rFonts w:ascii="Times New Roman" w:hAnsi="Times New Roman"/>
          <w:b/>
          <w:i w:val="false"/>
          <w:color w:val="000000"/>
          <w:sz w:val="24"/>
        </w:rPr>
        <w:t xml:space="preserve">(441) </w:t>
      </w:r>
      <w:r>
        <w:rPr>
          <w:rFonts w:ascii="Times New Roman" w:hAnsi="Times New Roman"/>
          <w:b/>
          <w:i w:val="false"/>
          <w:color w:val="000000"/>
          <w:sz w:val="24"/>
        </w:rPr>
        <w:t xml:space="preserve">Special counsel.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102.24(1)</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the conference board may employ special counsel to assist the city legal department or county attorney under Iowa Code section </w:t>
      </w:r>
      <w:hyperlink r:id="rId202">
        <w:r>
          <w:rPr>
            <w:rStyle w:val="Hyperlink"/>
            <w:rFonts w:ascii="Times New Roman" w:hAnsi="Times New Roman"/>
            <w:b w:val="false"/>
            <w:i w:val="false"/>
            <w:color w:val="000000"/>
            <w:sz w:val="24"/>
          </w:rPr>
          <w:t>441.41</w:t>
        </w:r>
      </w:hyperlink>
      <w:r>
        <w:rPr>
          <w:rFonts w:ascii="Times New Roman" w:hAnsi="Times New Roman"/>
          <w:b w:val="false"/>
          <w:i w:val="false"/>
          <w:color w:val="000000"/>
          <w:sz w:val="24"/>
        </w:rPr>
        <w:t>, the city legal department in the case of cities having an assessor, or county attorney in the case of counties, shall first provide written approval of the employment of special counsel for each matter in which the special counsel will be employed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102.24(2)</w:t>
      </w:r>
      <w:r>
        <w:rPr>
          <w:rFonts w:ascii="Times New Roman" w:hAnsi="Times New Roman"/>
          <w:b w:val="false"/>
          <w:i w:val="false"/>
          <w:color w:val="000000"/>
          <w:sz w:val="24"/>
        </w:rPr>
        <w:t> </w:t>
      </w:r>
      <w:r>
        <w:rPr>
          <w:rFonts w:ascii="Times New Roman" w:hAnsi="Times New Roman"/>
          <w:b w:val="false"/>
          <w:i w:val="false"/>
          <w:color w:val="000000"/>
          <w:sz w:val="24"/>
        </w:rPr>
        <w:t>In the event special counsel is employed, the assessor shall provide the department with written notice of said employment, including the matter being litigated, justification for the hiring of special counsel, and the special counsel’s name and hourly rate, within ten days of the hiring. On or before January 1 of each year, the assessor shall submit to the director, on forms prescribed by the director, a report of all matters litigated by special counsel in the previous 12-month period and the cost of said litigation for each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3">
        <w:r>
          <w:rPr>
            <w:rStyle w:val="Hyperlink"/>
            <w:rFonts w:ascii="Times New Roman" w:hAnsi="Times New Roman"/>
            <w:b w:val="false"/>
            <w:i w:val="false"/>
            <w:color w:val="000000"/>
            <w:sz w:val="24"/>
          </w:rPr>
          <w:t>441.41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701—102.25</w:t>
      </w:r>
      <w:r>
        <w:rPr>
          <w:rFonts w:ascii="Times New Roman" w:hAnsi="Times New Roman"/>
          <w:b/>
          <w:i w:val="false"/>
          <w:color w:val="000000"/>
          <w:sz w:val="24"/>
        </w:rPr>
        <w:t xml:space="preserve">(441) </w:t>
      </w:r>
      <w:r>
        <w:rPr>
          <w:rFonts w:ascii="Times New Roman" w:hAnsi="Times New Roman"/>
          <w:b/>
          <w:i w:val="false"/>
          <w:color w:val="000000"/>
          <w:sz w:val="24"/>
        </w:rPr>
        <w:t xml:space="preserve">Application of two-tier assessment limitation.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102.25(1)</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receipt of the certification of assessment limitations described in Iowa Code section </w:t>
      </w:r>
      <w:hyperlink r:id="rId204">
        <w:r>
          <w:rPr>
            <w:rStyle w:val="Hyperlink"/>
            <w:rFonts w:ascii="Times New Roman" w:hAnsi="Times New Roman"/>
            <w:b w:val="false"/>
            <w:i w:val="false"/>
            <w:color w:val="000000"/>
            <w:sz w:val="24"/>
          </w:rPr>
          <w:t>441.21(9)</w:t>
        </w:r>
      </w:hyperlink>
      <w:r>
        <w:rPr>
          <w:rFonts w:ascii="Times New Roman" w:hAnsi="Times New Roman"/>
          <w:b w:val="false"/>
          <w:i w:val="false"/>
          <w:color w:val="000000"/>
          <w:sz w:val="24"/>
        </w:rPr>
        <w:t xml:space="preserve">, the county auditor shall determine the assessed values of property by applying the assessment limitations as required under Iowa Code section </w:t>
      </w:r>
      <w:hyperlink r:id="rId205">
        <w:r>
          <w:rPr>
            <w:rStyle w:val="Hyperlink"/>
            <w:rFonts w:ascii="Times New Roman" w:hAnsi="Times New Roman"/>
            <w:b w:val="false"/>
            <w:i w:val="false"/>
            <w:color w:val="000000"/>
            <w:sz w:val="24"/>
          </w:rPr>
          <w:t>441.21(9)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102.25(2)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property unit of commercial property, industrial property, or property valued by the department pursuant to Iowa Code chapter </w:t>
      </w:r>
      <w:hyperlink r:id="rId206">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is comprised of more than one parcel, the county auditor shall apply the assessment limitations described in Iowa Code section </w:t>
      </w:r>
      <w:hyperlink r:id="rId207">
        <w:r>
          <w:rPr>
            <w:rStyle w:val="Hyperlink"/>
            <w:rFonts w:ascii="Times New Roman" w:hAnsi="Times New Roman"/>
            <w:b w:val="false"/>
            <w:i w:val="false"/>
            <w:color w:val="000000"/>
            <w:sz w:val="24"/>
          </w:rPr>
          <w:t>441.21(5)</w:t>
        </w:r>
        <w:r>
          <w:rPr>
            <w:rFonts w:ascii="Times New Roman" w:hAnsi="Times New Roman"/>
            <w:b w:val="false"/>
            <w:i/>
            <w:color w:val="000000"/>
            <w:sz w:val="24"/>
          </w:rPr>
          <w:t>“b”</w:t>
        </w:r>
        <w:r>
          <w:rPr>
            <w:rFonts w:ascii="Times New Roman" w:hAnsi="Times New Roman"/>
            <w:b w:val="false"/>
            <w:i w:val="false"/>
            <w:color w:val="000000"/>
            <w:sz w:val="24"/>
          </w:rPr>
          <w:t>(2)(a)</w:t>
        </w:r>
      </w:hyperlink>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(2)(a), as applicable, to each parcel within the property unit by dividing 150,000 by the value of the entire property unit and multiplying the quotient by the value of each parcel within the property unit. Any remaining value of each parcel within the property unit shall receive the assessment limitations described in Iowa Code section </w:t>
      </w:r>
      <w:hyperlink r:id="rId208">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 as applicable. The assessment limitations shall be applied as whole numbers.</w:t>
      </w:r>
    </w:p>
    <w:p>
      <w:pPr>
        <w:spacing w:before="0" w:after="0" w:line="480"/>
        <w:ind w:left="120"/>
        <w:jc w:val="both"/>
      </w:pPr>
      <w:r>
        <w:rPr>
          <w:rFonts w:ascii="Times New Roman" w:hAnsi="Times New Roman"/>
          <w:b w:val="false"/>
          <w:i w:val="false"/>
          <w:color w:val="000000"/>
          <w:sz w:val="24"/>
        </w:rPr>
        <w:t xml:space="preserve">EXAMPLE 1: </w:t>
      </w:r>
      <w:r>
        <w:rPr>
          <w:rFonts w:ascii="Times New Roman" w:hAnsi="Times New Roman"/>
          <w:b w:val="false"/>
          <w:i w:val="false"/>
          <w:color w:val="000000"/>
          <w:sz w:val="24"/>
        </w:rPr>
        <w:t>Parcels 1, 2, and 3 comprise one property unit of commercial, industrial, or railway property valued at $300,000 total.</w:t>
      </w:r>
    </w:p>
    <w:p>
      <w:pPr>
        <w:spacing w:before="0" w:after="0" w:line="480"/>
        <w:ind w:left="120"/>
        <w:jc w:val="both"/>
      </w:pPr>
      <w:r>
        <w:rPr>
          <w:rFonts w:ascii="Times New Roman" w:hAnsi="Times New Roman"/>
          <w:b w:val="false"/>
          <w:i w:val="false"/>
          <w:color w:val="000000"/>
          <w:sz w:val="24"/>
        </w:rPr>
        <w:t>Parcel 1 is assessed at $100,000.</w:t>
      </w:r>
    </w:p>
    <w:p>
      <w:pPr>
        <w:spacing w:before="0" w:after="0" w:line="480"/>
        <w:ind w:left="120"/>
        <w:jc w:val="both"/>
      </w:pPr>
      <w:r>
        <w:rPr>
          <w:rFonts w:ascii="Times New Roman" w:hAnsi="Times New Roman"/>
          <w:b w:val="false"/>
          <w:i w:val="false"/>
          <w:color w:val="000000"/>
          <w:sz w:val="24"/>
        </w:rPr>
        <w:t>Parcel 2 is assessed at $100,000.</w:t>
      </w:r>
    </w:p>
    <w:p>
      <w:pPr>
        <w:spacing w:before="0" w:after="0" w:line="480"/>
        <w:ind w:left="120"/>
        <w:jc w:val="both"/>
      </w:pPr>
      <w:r>
        <w:rPr>
          <w:rFonts w:ascii="Times New Roman" w:hAnsi="Times New Roman"/>
          <w:b w:val="false"/>
          <w:i w:val="false"/>
          <w:color w:val="000000"/>
          <w:sz w:val="24"/>
        </w:rPr>
        <w:t>Parcel 3 is assessed at $100,000.</w:t>
      </w:r>
    </w:p>
    <w:p>
      <w:pPr>
        <w:spacing w:before="0" w:after="0" w:line="480"/>
        <w:ind w:left="120"/>
        <w:jc w:val="both"/>
      </w:pPr>
      <w:r>
        <w:rPr>
          <w:rFonts w:ascii="Times New Roman" w:hAnsi="Times New Roman"/>
          <w:b w:val="false"/>
          <w:i w:val="false"/>
          <w:color w:val="000000"/>
          <w:sz w:val="24"/>
        </w:rPr>
        <w:t xml:space="preserve">The first $50,000 of value of each parcel receives the assessment limitation applicable to residential property. The additional value of each parcel receives the applicable assessment limitation for commercial, industrial, or railway property assessed under Iowa Code chapter </w:t>
      </w:r>
      <w:hyperlink r:id="rId209">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10">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Parcels 1, 2, 3, and 4 comprise one property unit of commercial, industrial, or railway property valued at $850,000 total.</w:t>
      </w:r>
    </w:p>
    <w:p>
      <w:pPr>
        <w:spacing w:before="0" w:after="0" w:line="480"/>
        <w:ind w:left="120"/>
        <w:jc w:val="both"/>
      </w:pPr>
      <w:r>
        <w:rPr>
          <w:rFonts w:ascii="Times New Roman" w:hAnsi="Times New Roman"/>
          <w:b w:val="false"/>
          <w:i w:val="false"/>
          <w:color w:val="000000"/>
          <w:sz w:val="24"/>
        </w:rPr>
        <w:t>Parcel 1 is assessed at $500,000.</w:t>
      </w:r>
    </w:p>
    <w:p>
      <w:pPr>
        <w:spacing w:before="0" w:after="0" w:line="480"/>
        <w:ind w:left="120"/>
        <w:jc w:val="both"/>
      </w:pPr>
      <w:r>
        <w:rPr>
          <w:rFonts w:ascii="Times New Roman" w:hAnsi="Times New Roman"/>
          <w:b w:val="false"/>
          <w:i w:val="false"/>
          <w:color w:val="000000"/>
          <w:sz w:val="24"/>
        </w:rPr>
        <w:t>Parcel 2 is assessed at $200,000.</w:t>
      </w:r>
    </w:p>
    <w:p>
      <w:pPr>
        <w:spacing w:before="0" w:after="0" w:line="480"/>
        <w:ind w:left="120"/>
        <w:jc w:val="both"/>
      </w:pPr>
      <w:r>
        <w:rPr>
          <w:rFonts w:ascii="Times New Roman" w:hAnsi="Times New Roman"/>
          <w:b w:val="false"/>
          <w:i w:val="false"/>
          <w:color w:val="000000"/>
          <w:sz w:val="24"/>
        </w:rPr>
        <w:t>Parcel 3 is assessed at $100,000.</w:t>
      </w:r>
    </w:p>
    <w:p>
      <w:pPr>
        <w:spacing w:before="0" w:after="0" w:line="480"/>
        <w:ind w:left="120"/>
        <w:jc w:val="both"/>
      </w:pPr>
      <w:r>
        <w:rPr>
          <w:rFonts w:ascii="Times New Roman" w:hAnsi="Times New Roman"/>
          <w:b w:val="false"/>
          <w:i w:val="false"/>
          <w:color w:val="000000"/>
          <w:sz w:val="24"/>
        </w:rPr>
        <w:t>Parcel 4 is assessed at $50,000.</w:t>
      </w:r>
    </w:p>
    <w:p>
      <w:pPr>
        <w:spacing w:before="0" w:after="0" w:line="480"/>
        <w:ind w:left="120"/>
        <w:jc w:val="both"/>
      </w:pPr>
      <w:r>
        <w:rPr>
          <w:rFonts w:ascii="Times New Roman" w:hAnsi="Times New Roman"/>
          <w:b w:val="false"/>
          <w:i w:val="false"/>
          <w:color w:val="000000"/>
          <w:sz w:val="24"/>
        </w:rPr>
        <w:t xml:space="preserve">The first $88,235 of value of Parcel 1 receives the assessment limitation applicable to residential property. The additional value of the parcel receives the applicable assessment limitation for commercial, industrial, or railway property assessed under Iowa Code chapter </w:t>
      </w:r>
      <w:hyperlink r:id="rId211">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12">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 xml:space="preserve">The first $35,294 of value of Parcel 2 receives the assessment limitation applicable to residential property. The additional value of the parcel receives the applicable assessment limitation for commercial, industrial, or railway property assessed under Iowa Code chapter </w:t>
      </w:r>
      <w:hyperlink r:id="rId213">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14">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 xml:space="preserve">The first $17,647 of value of Parcel 3 receives the assessment limitation applicable to residential property. The additional value of the parcel receives the applicable assessment limitation for commercial, industrial, or railway property assessed under Iowa Code chapter </w:t>
      </w:r>
      <w:hyperlink r:id="rId215">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16">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 xml:space="preserve">The first $8,824 of value of Parcel 4 receives the assessment limitation applicable to residential property. The additional value of the parcel receives the applicable assessment limitation for commercial, industrial, or railway property assessed under Iowa Code chapter </w:t>
      </w:r>
      <w:hyperlink r:id="rId217">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18">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Parcels 1 and 2 comprise one property unit of commercial, industrial, or railway property valued at $500,000 total.</w:t>
      </w:r>
    </w:p>
    <w:p>
      <w:pPr>
        <w:spacing w:before="0" w:after="0" w:line="480"/>
        <w:ind w:left="120"/>
        <w:jc w:val="both"/>
      </w:pPr>
      <w:r>
        <w:rPr>
          <w:rFonts w:ascii="Times New Roman" w:hAnsi="Times New Roman"/>
          <w:b w:val="false"/>
          <w:i w:val="false"/>
          <w:color w:val="000000"/>
          <w:sz w:val="24"/>
        </w:rPr>
        <w:t>Parcel 1 is assessed at $400,000.</w:t>
      </w:r>
    </w:p>
    <w:p>
      <w:pPr>
        <w:spacing w:before="0" w:after="0" w:line="480"/>
        <w:ind w:left="120"/>
        <w:jc w:val="both"/>
      </w:pPr>
      <w:r>
        <w:rPr>
          <w:rFonts w:ascii="Times New Roman" w:hAnsi="Times New Roman"/>
          <w:b w:val="false"/>
          <w:i w:val="false"/>
          <w:color w:val="000000"/>
          <w:sz w:val="24"/>
        </w:rPr>
        <w:t>Parcel 2 is assessed at $100,000.</w:t>
      </w:r>
    </w:p>
    <w:p>
      <w:pPr>
        <w:spacing w:before="0" w:after="0" w:line="480"/>
        <w:ind w:left="120"/>
        <w:jc w:val="both"/>
      </w:pPr>
      <w:r>
        <w:rPr>
          <w:rFonts w:ascii="Times New Roman" w:hAnsi="Times New Roman"/>
          <w:b w:val="false"/>
          <w:i w:val="false"/>
          <w:color w:val="000000"/>
          <w:sz w:val="24"/>
        </w:rPr>
        <w:t xml:space="preserve">The first $120,000 of value of Parcel 1 receives the assessment limitation applicable to residential property. The additional value of the parcel receives the applicable assessment limitation for commercial, industrial, or railway property assessed under Iowa Code chapter </w:t>
      </w:r>
      <w:hyperlink r:id="rId219">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20">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 xml:space="preserve">The first $30,000 of value of Parcel 2 receives the assessment limitation applicable to residential property. The additional value of the parcel receives the applicable assessment limitation for commercial, industrial, or railway property assessed under Iowa Code chapter </w:t>
      </w:r>
      <w:hyperlink r:id="rId221">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described in Iowa Code section </w:t>
      </w:r>
      <w:hyperlink r:id="rId222">
        <w:r>
          <w:rPr>
            <w:rStyle w:val="Hyperlink"/>
            <w:rFonts w:ascii="Times New Roman" w:hAnsi="Times New Roman"/>
            <w:b w:val="false"/>
            <w:i w:val="false"/>
            <w:color w:val="000000"/>
            <w:sz w:val="24"/>
          </w:rPr>
          <w:t>441.21(5)</w:t>
        </w:r>
      </w:hyperlink>
      <w:r>
        <w:rPr>
          <w:rFonts w:ascii="Times New Roman" w:hAnsi="Times New Roman"/>
          <w:b w:val="false"/>
          <w:i/>
          <w:color w:val="000000"/>
          <w:sz w:val="24"/>
        </w:rPr>
        <w:t>“b”</w:t>
      </w:r>
      <w:r>
        <w:rPr>
          <w:rFonts w:ascii="Times New Roman" w:hAnsi="Times New Roman"/>
          <w:b w:val="false"/>
          <w:i w:val="false"/>
          <w:color w:val="000000"/>
          <w:sz w:val="24"/>
        </w:rPr>
        <w:t xml:space="preserve">(2)(b) and </w:t>
      </w:r>
      <w:r>
        <w:rPr>
          <w:rFonts w:ascii="Times New Roman" w:hAnsi="Times New Roman"/>
          <w:b w:val="false"/>
          <w:i/>
          <w:color w:val="000000"/>
          <w:sz w:val="24"/>
        </w:rPr>
        <w:t>“c”</w:t>
      </w:r>
      <w:r>
        <w:rPr>
          <w:rFonts w:ascii="Times New Roman" w:hAnsi="Times New Roman"/>
          <w:b w:val="false"/>
          <w:i w:val="false"/>
          <w:color w:val="000000"/>
          <w:sz w:val="24"/>
        </w:rPr>
        <w:t>(2)(b).</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3">
        <w:r>
          <w:rPr>
            <w:rStyle w:val="Hyperlink"/>
            <w:rFonts w:ascii="Times New Roman" w:hAnsi="Times New Roman"/>
            <w:b w:val="false"/>
            <w:i w:val="false"/>
            <w:color w:val="000000"/>
            <w:sz w:val="24"/>
          </w:rPr>
          <w:t>441.21(5)</w:t>
        </w:r>
      </w:hyperlink>
      <w:r>
        <w:rPr>
          <w:rFonts w:ascii="Times New Roman" w:hAnsi="Times New Roman"/>
          <w:b w:val="false"/>
          <w:i w:val="false"/>
          <w:color w:val="000000"/>
          <w:sz w:val="24"/>
        </w:rPr>
        <w:t xml:space="preserve"> and </w:t>
      </w:r>
      <w:hyperlink r:id="rId224">
        <w:r>
          <w:rPr>
            <w:rStyle w:val="Hyperlink"/>
            <w:rFonts w:ascii="Times New Roman" w:hAnsi="Times New Roman"/>
            <w:b w:val="false"/>
            <w:i w:val="false"/>
            <w:color w:val="000000"/>
            <w:sz w:val="24"/>
          </w:rPr>
          <w:t>441.21(9)</w:t>
        </w:r>
      </w:hyperlink>
      <w:r>
        <w:rPr>
          <w:rFonts w:ascii="Times New Roman" w:hAnsi="Times New Roman"/>
          <w:b w:val="false"/>
          <w:i w:val="false"/>
          <w:color w:val="000000"/>
          <w:sz w:val="24"/>
        </w:rPr>
        <w:t>.</w:t>
      </w:r>
    </w:p>
    <w:sectPr>
      <w:footerReference r:id="rId2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ac/rule/701.102.1.pdf" Type="http://schemas.openxmlformats.org/officeDocument/2006/relationships/hyperlink" Id="rId6"/>
    <Relationship TargetMode="External" Target="https://www.legis.iowa.gov/docs/iac/rule/701.102.1.pdf" Type="http://schemas.openxmlformats.org/officeDocument/2006/relationships/hyperlink" Id="rId7"/>
    <Relationship TargetMode="External" Target="https://www.legis.iowa.gov/docs/ico/chapter/441.45.pdf" Type="http://schemas.openxmlformats.org/officeDocument/2006/relationships/hyperlink" Id="rId8"/>
    <Relationship TargetMode="External" Target="https://www.legis.iowa.gov/docs/iac/rule/701.102.7.pdf" Type="http://schemas.openxmlformats.org/officeDocument/2006/relationships/hyperlink" Id="rId9"/>
    <Relationship TargetMode="External" Target="https://www.legis.iowa.gov/docs/iac/rule/701.102.1.pdf" Type="http://schemas.openxmlformats.org/officeDocument/2006/relationships/hyperlink" Id="rId10"/>
    <Relationship TargetMode="External" Target="https://www.legis.iowa.gov/docs/iac/rule/701.102.1.pdf" Type="http://schemas.openxmlformats.org/officeDocument/2006/relationships/hyperlink" Id="rId11"/>
    <Relationship TargetMode="External" Target="https://www.legis.iowa.gov/docs/ico/chapter/499B.pdf" Type="http://schemas.openxmlformats.org/officeDocument/2006/relationships/hyperlink" Id="rId12"/>
    <Relationship TargetMode="External" Target="https://www.legis.iowa.gov/docs/ico/chapter/499A.pdf" Type="http://schemas.openxmlformats.org/officeDocument/2006/relationships/hyperlink" Id="rId13"/>
    <Relationship TargetMode="External" Target="https://www.legis.iowa.gov/docs/ico/chapter/422.33.pdf" Type="http://schemas.openxmlformats.org/officeDocument/2006/relationships/hyperlink" Id="rId14"/>
    <Relationship TargetMode="External" Target="https://www.legis.iowa.gov/docs/ico/chapter/441.21.pdf" Type="http://schemas.openxmlformats.org/officeDocument/2006/relationships/hyperlink" Id="rId15"/>
    <Relationship TargetMode="External" Target="https://www.legis.iowa.gov/docs/iac/rule/701.102.1.pdf" Type="http://schemas.openxmlformats.org/officeDocument/2006/relationships/hyperlink" Id="rId16"/>
    <Relationship TargetMode="External" Target="https://www.legis.iowa.gov/docs/ico/chapter/441.21.pdf" Type="http://schemas.openxmlformats.org/officeDocument/2006/relationships/hyperlink" Id="rId17"/>
    <Relationship TargetMode="External" Target="https://www.legis.iowa.gov/docs/iac/rule/701.102.1.pdf" Type="http://schemas.openxmlformats.org/officeDocument/2006/relationships/hyperlink" Id="rId18"/>
    <Relationship TargetMode="External" Target="https://www.legis.iowa.gov/docs/ico/chapter/441.21.pdf" Type="http://schemas.openxmlformats.org/officeDocument/2006/relationships/hyperlink" Id="rId19"/>
    <Relationship TargetMode="External" Target="https://www.legis.iowa.gov/docs/iac/rule/701.102.1.pdf" Type="http://schemas.openxmlformats.org/officeDocument/2006/relationships/hyperlink" Id="rId20"/>
    <Relationship TargetMode="External" Target="https://www.legis.iowa.gov/docs/ico/chapter/441.21.pdf" Type="http://schemas.openxmlformats.org/officeDocument/2006/relationships/hyperlink" Id="rId21"/>
    <Relationship TargetMode="External" Target="https://www.legis.iowa.gov/docs/ico/chapter/441.21.pdf" Type="http://schemas.openxmlformats.org/officeDocument/2006/relationships/hyperlink" Id="rId22"/>
    <Relationship TargetMode="External" Target="https://www.legis.iowa.gov/docs/ico/chapter/427A.1.pdf" Type="http://schemas.openxmlformats.org/officeDocument/2006/relationships/hyperlink" Id="rId23"/>
    <Relationship TargetMode="External" Target="https://www.legis.iowa.gov/docs/ico/chapter/499A.pdf" Type="http://schemas.openxmlformats.org/officeDocument/2006/relationships/hyperlink" Id="rId24"/>
    <Relationship TargetMode="External" Target="https://www.legis.iowa.gov/docs/ico/chapter/422.33.pdf" Type="http://schemas.openxmlformats.org/officeDocument/2006/relationships/hyperlink" Id="rId25"/>
    <Relationship TargetMode="External" Target="https://www.legis.iowa.gov/docs/ico/chapter/499B.pdf" Type="http://schemas.openxmlformats.org/officeDocument/2006/relationships/hyperlink" Id="rId26"/>
    <Relationship TargetMode="External" Target="https://www.legis.iowa.gov/docs/iac/rule/701.102.1.pdf" Type="http://schemas.openxmlformats.org/officeDocument/2006/relationships/hyperlink" Id="rId27"/>
    <Relationship TargetMode="External" Target="https://www.legis.iowa.gov/docs/ico/chapter/428.20.pdf" Type="http://schemas.openxmlformats.org/officeDocument/2006/relationships/hyperlink" Id="rId28"/>
    <Relationship TargetMode="External" Target="https://www.legis.iowa.gov/docs/ico/chapter/427B.26.pdf" Type="http://schemas.openxmlformats.org/officeDocument/2006/relationships/hyperlink" Id="rId29"/>
    <Relationship TargetMode="External" Target="https://www.legis.iowa.gov/docs/ico/chapter/427A.1.pdf" Type="http://schemas.openxmlformats.org/officeDocument/2006/relationships/hyperlink" Id="rId30"/>
    <Relationship TargetMode="External" Target="https://www.legis.iowa.gov/docs/ico/chapter/405.1.pdf" Type="http://schemas.openxmlformats.org/officeDocument/2006/relationships/hyperlink" Id="rId31"/>
    <Relationship TargetMode="External" Target="https://www.legis.iowa.gov/docs/ico/chapter/405.1.pdf" Type="http://schemas.openxmlformats.org/officeDocument/2006/relationships/hyperlink" Id="rId32"/>
    <Relationship TargetMode="External" Target="https://www.legis.iowa.gov/docs/ico/chapter/405.1.pdf" Type="http://schemas.openxmlformats.org/officeDocument/2006/relationships/hyperlink" Id="rId33"/>
    <Relationship TargetMode="External" Target="https://www.legis.iowa.gov/docs/ico/chapter/405.1.pdf" Type="http://schemas.openxmlformats.org/officeDocument/2006/relationships/hyperlink" Id="rId34"/>
    <Relationship TargetMode="External" Target="https://www.legis.iowa.gov/docs/iac/rule/701.102.1.pdf" Type="http://schemas.openxmlformats.org/officeDocument/2006/relationships/hyperlink" Id="rId35"/>
    <Relationship TargetMode="External" Target="https://www.legis.iowa.gov/docs/iac/rule/701.102.1.pdf" Type="http://schemas.openxmlformats.org/officeDocument/2006/relationships/hyperlink" Id="rId36"/>
    <Relationship TargetMode="External" Target="https://www.legis.iowa.gov/docs/ico/chapter/405.1.pdf" Type="http://schemas.openxmlformats.org/officeDocument/2006/relationships/hyperlink" Id="rId37"/>
    <Relationship TargetMode="External" Target="https://www.legis.iowa.gov/docs/ico/chapter/405.1.pdf" Type="http://schemas.openxmlformats.org/officeDocument/2006/relationships/hyperlink" Id="rId38"/>
    <Relationship TargetMode="External" Target="https://www.legis.iowa.gov/docs/ico/chapter/405.1.pdf" Type="http://schemas.openxmlformats.org/officeDocument/2006/relationships/hyperlink" Id="rId39"/>
    <Relationship TargetMode="External" Target="https://www.legis.iowa.gov/docs/ico/chapter/405.1.pdf" Type="http://schemas.openxmlformats.org/officeDocument/2006/relationships/hyperlink" Id="rId40"/>
    <Relationship TargetMode="External" Target="https://www.legis.iowa.gov/docs/ico/chapter/405.1.pdf" Type="http://schemas.openxmlformats.org/officeDocument/2006/relationships/hyperlink" Id="rId41"/>
    <Relationship TargetMode="External" Target="https://www.legis.iowa.gov/docs/ico/chapter/405.1.pdf" Type="http://schemas.openxmlformats.org/officeDocument/2006/relationships/hyperlink" Id="rId42"/>
    <Relationship TargetMode="External" Target="https://www.legis.iowa.gov/docs/ico/chapter/405.1.pdf" Type="http://schemas.openxmlformats.org/officeDocument/2006/relationships/hyperlink" Id="rId43"/>
    <Relationship TargetMode="External" Target="https://www.legis.iowa.gov/docs/ico/chapter/405.1.pdf" Type="http://schemas.openxmlformats.org/officeDocument/2006/relationships/hyperlink" Id="rId44"/>
    <Relationship TargetMode="External" Target="https://www.legis.iowa.gov/docs/ico/chapter/427A.1.pdf" Type="http://schemas.openxmlformats.org/officeDocument/2006/relationships/hyperlink" Id="rId45"/>
    <Relationship TargetMode="External" Target="https://www.legis.iowa.gov/docs/ico/chapter/428.4.pdf" Type="http://schemas.openxmlformats.org/officeDocument/2006/relationships/hyperlink" Id="rId46"/>
    <Relationship TargetMode="External" Target="https://www.legis.iowa.gov/docs/ico/chapter/441.21.pdf" Type="http://schemas.openxmlformats.org/officeDocument/2006/relationships/hyperlink" Id="rId47"/>
    <Relationship TargetMode="External" Target="https://www.legis.iowa.gov/docs/ico/chapter/441.22.pdf" Type="http://schemas.openxmlformats.org/officeDocument/2006/relationships/hyperlink" Id="rId48"/>
    <Relationship TargetMode="External" Target="https://www.legis.iowa.gov/docs/ico/chapter/499B.pdf" Type="http://schemas.openxmlformats.org/officeDocument/2006/relationships/hyperlink" Id="rId49"/>
    <Relationship TargetMode="External" Target="https://www.legis.iowa.gov/docs/iac/rule/701.102.2.pdf" Type="http://schemas.openxmlformats.org/officeDocument/2006/relationships/hyperlink" Id="rId50"/>
    <Relationship TargetMode="External" Target="https://www.legis.iowa.gov/docs/iac/rule/701.102.3.pdf" Type="http://schemas.openxmlformats.org/officeDocument/2006/relationships/hyperlink" Id="rId51"/>
    <Relationship TargetMode="External" Target="https://www.legis.iowa.gov/docs/iac/rule/701.102.6.pdf" Type="http://schemas.openxmlformats.org/officeDocument/2006/relationships/hyperlink" Id="rId52"/>
    <Relationship TargetMode="External" Target="https://www.legis.iowa.gov/docs/ico/chapter/421.17.pdf" Type="http://schemas.openxmlformats.org/officeDocument/2006/relationships/hyperlink" Id="rId53"/>
    <Relationship TargetMode="External" Target="https://www.legis.iowa.gov/docs/ico/chapter/428.4.pdf" Type="http://schemas.openxmlformats.org/officeDocument/2006/relationships/hyperlink" Id="rId54"/>
    <Relationship TargetMode="External" Target="https://www.legis.iowa.gov/docs/ico/chapter/441.21.pdf" Type="http://schemas.openxmlformats.org/officeDocument/2006/relationships/hyperlink" Id="rId55"/>
    <Relationship TargetMode="External" Target="https://www.legis.iowa.gov/docs/ico/chapter/441.21.pdf" Type="http://schemas.openxmlformats.org/officeDocument/2006/relationships/hyperlink" Id="rId56"/>
    <Relationship TargetMode="External" Target="https://www.legis.iowa.gov/docs/ico/chapter/421.17.pdf" Type="http://schemas.openxmlformats.org/officeDocument/2006/relationships/hyperlink" Id="rId57"/>
    <Relationship TargetMode="External" Target="https://www.legis.iowa.gov/docs/ico/chapter/441.21.pdf" Type="http://schemas.openxmlformats.org/officeDocument/2006/relationships/hyperlink" Id="rId58"/>
    <Relationship TargetMode="External" Target="https://www.legis.iowa.gov/docs/iac/rule/701.102.3.pdf" Type="http://schemas.openxmlformats.org/officeDocument/2006/relationships/hyperlink" Id="rId59"/>
    <Relationship TargetMode="External" Target="https://www.legis.iowa.gov/docs/iac/rule/701.102.11.pdf" Type="http://schemas.openxmlformats.org/officeDocument/2006/relationships/hyperlink" Id="rId60"/>
    <Relationship TargetMode="External" Target="https://www.legis.iowa.gov/docs/iac/rule/701.102.3.pdf" Type="http://schemas.openxmlformats.org/officeDocument/2006/relationships/hyperlink" Id="rId61"/>
    <Relationship TargetMode="External" Target="https://www.legis.iowa.gov/docs/ico/chapter/421.17.pdf" Type="http://schemas.openxmlformats.org/officeDocument/2006/relationships/hyperlink" Id="rId62"/>
    <Relationship TargetMode="External" Target="https://www.legis.iowa.gov/docs/ico/chapter/428.4.pdf" Type="http://schemas.openxmlformats.org/officeDocument/2006/relationships/hyperlink" Id="rId63"/>
    <Relationship TargetMode="External" Target="https://www.legis.iowa.gov/docs/ico/chapter/441.21.pdf" Type="http://schemas.openxmlformats.org/officeDocument/2006/relationships/hyperlink" Id="rId64"/>
    <Relationship TargetMode="External" Target="https://www.legis.iowa.gov/docs/ico/chapter/441.21.pdf" Type="http://schemas.openxmlformats.org/officeDocument/2006/relationships/hyperlink" Id="rId65"/>
    <Relationship TargetMode="External" Target="https://www.legis.iowa.gov/docs/ico/chapter/421.17.pdf" Type="http://schemas.openxmlformats.org/officeDocument/2006/relationships/hyperlink" Id="rId66"/>
    <Relationship TargetMode="External" Target="https://www.legis.iowa.gov/docs/ico/chapter/421.17.pdf" Type="http://schemas.openxmlformats.org/officeDocument/2006/relationships/hyperlink" Id="rId67"/>
    <Relationship TargetMode="External" Target="https://www.legis.iowa.gov/docs/ico/chapter/428.4.pdf" Type="http://schemas.openxmlformats.org/officeDocument/2006/relationships/hyperlink" Id="rId68"/>
    <Relationship TargetMode="External" Target="https://www.legis.iowa.gov/docs/ico/chapter/441.21.pdf" Type="http://schemas.openxmlformats.org/officeDocument/2006/relationships/hyperlink" Id="rId69"/>
    <Relationship TargetMode="External" Target="https://www.legis.iowa.gov/docs/ico/chapter/441.21.pdf" Type="http://schemas.openxmlformats.org/officeDocument/2006/relationships/hyperlink" Id="rId70"/>
    <Relationship TargetMode="External" Target="https://www.legis.iowa.gov/docs/ico/chapter/421.17.pdf" Type="http://schemas.openxmlformats.org/officeDocument/2006/relationships/hyperlink" Id="rId71"/>
    <Relationship TargetMode="External" Target="https://www.legis.iowa.gov/docs/ico/chapter/421.17.pdf" Type="http://schemas.openxmlformats.org/officeDocument/2006/relationships/hyperlink" Id="rId72"/>
    <Relationship TargetMode="External" Target="https://www.legis.iowa.gov/docs/ico/chapter/428.4.pdf" Type="http://schemas.openxmlformats.org/officeDocument/2006/relationships/hyperlink" Id="rId73"/>
    <Relationship TargetMode="External" Target="https://www.legis.iowa.gov/docs/ico/chapter/441.21.pdf" Type="http://schemas.openxmlformats.org/officeDocument/2006/relationships/hyperlink" Id="rId74"/>
    <Relationship TargetMode="External" Target="https://www.legis.iowa.gov/docs/ico/chapter/441.21.pdf" Type="http://schemas.openxmlformats.org/officeDocument/2006/relationships/hyperlink" Id="rId75"/>
    <Relationship TargetMode="External" Target="https://www.legis.iowa.gov/docs/ico/chapter/421.17.pdf" Type="http://schemas.openxmlformats.org/officeDocument/2006/relationships/hyperlink" Id="rId76"/>
    <Relationship TargetMode="External" Target="https://www.legis.iowa.gov/docs/ico/chapter/421.17.pdf" Type="http://schemas.openxmlformats.org/officeDocument/2006/relationships/hyperlink" Id="rId77"/>
    <Relationship TargetMode="External" Target="https://www.legis.iowa.gov/docs/ico/chapter/428.4.pdf" Type="http://schemas.openxmlformats.org/officeDocument/2006/relationships/hyperlink" Id="rId78"/>
    <Relationship TargetMode="External" Target="https://www.legis.iowa.gov/docs/ico/chapter/441.21.pdf" Type="http://schemas.openxmlformats.org/officeDocument/2006/relationships/hyperlink" Id="rId79"/>
    <Relationship TargetMode="External" Target="https://www.legis.iowa.gov/docs/ico/chapter/441.45.pdf" Type="http://schemas.openxmlformats.org/officeDocument/2006/relationships/hyperlink" Id="rId80"/>
    <Relationship TargetMode="External" Target="https://www.legis.iowa.gov/docs/ico/chapter/428.4.pdf" Type="http://schemas.openxmlformats.org/officeDocument/2006/relationships/hyperlink" Id="rId81"/>
    <Relationship TargetMode="External" Target="https://www.legis.iowa.gov/docs/ico/chapter/441.45.pdf" Type="http://schemas.openxmlformats.org/officeDocument/2006/relationships/hyperlink" Id="rId82"/>
    <Relationship TargetMode="External" Target="https://www.legis.iowa.gov/docs/ico/chapter/428.4.pdf" Type="http://schemas.openxmlformats.org/officeDocument/2006/relationships/hyperlink" Id="rId83"/>
    <Relationship TargetMode="External" Target="https://www.legis.iowa.gov/docs/ico/chapter/441.45.pdf" Type="http://schemas.openxmlformats.org/officeDocument/2006/relationships/hyperlink" Id="rId84"/>
    <Relationship TargetMode="External" Target="https://www.legis.iowa.gov/docs/ico/chapter/428.4.pdf" Type="http://schemas.openxmlformats.org/officeDocument/2006/relationships/hyperlink" Id="rId85"/>
    <Relationship TargetMode="External" Target="https://www.legis.iowa.gov/docs/ico/chapter/441.45.pdf" Type="http://schemas.openxmlformats.org/officeDocument/2006/relationships/hyperlink" Id="rId86"/>
    <Relationship TargetMode="External" Target="https://www.legis.iowa.gov/docs/ico/chapter/421.17.pdf" Type="http://schemas.openxmlformats.org/officeDocument/2006/relationships/hyperlink" Id="rId87"/>
    <Relationship TargetMode="External" Target="https://www.legis.iowa.gov/docs/iac/rule/701.109.3.pdf" Type="http://schemas.openxmlformats.org/officeDocument/2006/relationships/hyperlink" Id="rId88"/>
    <Relationship TargetMode="External" Target="https://www.legis.iowa.gov/docs/ico/chapter/441.21.pdf" Type="http://schemas.openxmlformats.org/officeDocument/2006/relationships/hyperlink" Id="rId89"/>
    <Relationship TargetMode="External" Target="https://www.legis.iowa.gov/docs/ico/chapter/421.17.pdf" Type="http://schemas.openxmlformats.org/officeDocument/2006/relationships/hyperlink" Id="rId90"/>
    <Relationship TargetMode="External" Target="https://www.legis.iowa.gov/docs/iac/rule/701.102.11.pdf" Type="http://schemas.openxmlformats.org/officeDocument/2006/relationships/hyperlink" Id="rId91"/>
    <Relationship TargetMode="External" Target="https://www.legis.iowa.gov/docs/ico/chapter/441.21.pdf" Type="http://schemas.openxmlformats.org/officeDocument/2006/relationships/hyperlink" Id="rId92"/>
    <Relationship TargetMode="External" Target="https://www.legis.iowa.gov/docs/iac/rule/701.102.11.pdf" Type="http://schemas.openxmlformats.org/officeDocument/2006/relationships/hyperlink" Id="rId93"/>
    <Relationship TargetMode="External" Target="https://www.legis.iowa.gov/docs/iac/rule/701.102.1.pdf" Type="http://schemas.openxmlformats.org/officeDocument/2006/relationships/hyperlink" Id="rId94"/>
    <Relationship TargetMode="External" Target="https://www.legis.iowa.gov/docs/iac/rule/701.102.1.pdf" Type="http://schemas.openxmlformats.org/officeDocument/2006/relationships/hyperlink" Id="rId95"/>
    <Relationship TargetMode="External" Target="https://www.legis.iowa.gov/docs/ico/chapter/441.21.pdf" Type="http://schemas.openxmlformats.org/officeDocument/2006/relationships/hyperlink" Id="rId96"/>
    <Relationship TargetMode="External" Target="https://www.legis.iowa.gov/docs/ico/chapter/441.47.pdf" Type="http://schemas.openxmlformats.org/officeDocument/2006/relationships/hyperlink" Id="rId97"/>
    <Relationship TargetMode="External" Target="https://www.legis.iowa.gov/docs/ico/chapter/441.48.pdf" Type="http://schemas.openxmlformats.org/officeDocument/2006/relationships/hyperlink" Id="rId98"/>
    <Relationship TargetMode="External" Target="https://www.legis.iowa.gov/docs/ico/chapter/441.49.pdf" Type="http://schemas.openxmlformats.org/officeDocument/2006/relationships/hyperlink" Id="rId99"/>
    <Relationship TargetMode="External" Target="https://www.legis.iowa.gov/docs/iac/rule/701.102.11.pdf" Type="http://schemas.openxmlformats.org/officeDocument/2006/relationships/hyperlink" Id="rId100"/>
    <Relationship TargetMode="External" Target="https://www.legis.iowa.gov/docs/iac/rule/701.102.11.pdf" Type="http://schemas.openxmlformats.org/officeDocument/2006/relationships/hyperlink" Id="rId101"/>
    <Relationship TargetMode="External" Target="https://www.legis.iowa.gov/docs/iac/rule/701.102.11.pdf" Type="http://schemas.openxmlformats.org/officeDocument/2006/relationships/hyperlink" Id="rId102"/>
    <Relationship TargetMode="External" Target="https://www.legis.iowa.gov/docs/iac/rule/701.102.11.pdf" Type="http://schemas.openxmlformats.org/officeDocument/2006/relationships/hyperlink" Id="rId103"/>
    <Relationship TargetMode="External" Target="https://www.legis.iowa.gov/docs/ico/chapter/441.21.pdf" Type="http://schemas.openxmlformats.org/officeDocument/2006/relationships/hyperlink" Id="rId104"/>
    <Relationship TargetMode="External" Target="https://www.legis.iowa.gov/docs/iac/rule/701.102.9.pdf" Type="http://schemas.openxmlformats.org/officeDocument/2006/relationships/hyperlink" Id="rId105"/>
    <Relationship TargetMode="External" Target="https://www.legis.iowa.gov/docs/iac/rule/701.102.11.pdf" Type="http://schemas.openxmlformats.org/officeDocument/2006/relationships/hyperlink" Id="rId106"/>
    <Relationship TargetMode="External" Target="https://www.legis.iowa.gov/docs/iac/rule/701.102.11.pdf" Type="http://schemas.openxmlformats.org/officeDocument/2006/relationships/hyperlink" Id="rId107"/>
    <Relationship TargetMode="External" Target="https://www.legis.iowa.gov/docs/iac/rule/701.102.11.pdf" Type="http://schemas.openxmlformats.org/officeDocument/2006/relationships/hyperlink" Id="rId108"/>
    <Relationship TargetMode="External" Target="https://www.legis.iowa.gov/docs/iac/rule/701.102.11.pdf" Type="http://schemas.openxmlformats.org/officeDocument/2006/relationships/hyperlink" Id="rId109"/>
    <Relationship TargetMode="External" Target="https://www.legis.iowa.gov/docs/iac/rule/701.102.11.pdf" Type="http://schemas.openxmlformats.org/officeDocument/2006/relationships/hyperlink" Id="rId110"/>
    <Relationship TargetMode="External" Target="https://www.legis.iowa.gov/docs/iac/rule/701.102.11.pdf" Type="http://schemas.openxmlformats.org/officeDocument/2006/relationships/hyperlink" Id="rId111"/>
    <Relationship TargetMode="External" Target="https://www.legis.iowa.gov/docs/iac/rule/701.102.9.pdf" Type="http://schemas.openxmlformats.org/officeDocument/2006/relationships/hyperlink" Id="rId112"/>
    <Relationship TargetMode="External" Target="https://www.legis.iowa.gov/docs/iac/rule/701.102.11.pdf" Type="http://schemas.openxmlformats.org/officeDocument/2006/relationships/hyperlink" Id="rId113"/>
    <Relationship TargetMode="External" Target="https://www.legis.iowa.gov/docs/iac/rule/701.102.11.pdf" Type="http://schemas.openxmlformats.org/officeDocument/2006/relationships/hyperlink" Id="rId114"/>
    <Relationship TargetMode="External" Target="https://www.legis.iowa.gov/docs/iac/rule/701.102.11.pdf" Type="http://schemas.openxmlformats.org/officeDocument/2006/relationships/hyperlink" Id="rId115"/>
    <Relationship TargetMode="External" Target="https://www.legis.iowa.gov/docs/iac/rule/701.102.11.pdf" Type="http://schemas.openxmlformats.org/officeDocument/2006/relationships/hyperlink" Id="rId116"/>
    <Relationship TargetMode="External" Target="https://www.legis.iowa.gov/docs/iac/rule/701.102.11.pdf" Type="http://schemas.openxmlformats.org/officeDocument/2006/relationships/hyperlink" Id="rId117"/>
    <Relationship TargetMode="External" Target="https://www.legis.iowa.gov/docs/iac/rule/701.102.11.pdf" Type="http://schemas.openxmlformats.org/officeDocument/2006/relationships/hyperlink" Id="rId118"/>
    <Relationship TargetMode="External" Target="https://www.legis.iowa.gov/docs/ico/chapter/421.17.pdf" Type="http://schemas.openxmlformats.org/officeDocument/2006/relationships/hyperlink" Id="rId119"/>
    <Relationship TargetMode="External" Target="https://www.legis.iowa.gov/docs/ico/chapter/428.pdf" Type="http://schemas.openxmlformats.org/officeDocument/2006/relationships/hyperlink" Id="rId120"/>
    <Relationship TargetMode="External" Target="https://www.legis.iowa.gov/docs/ico/chapter/434.pdf" Type="http://schemas.openxmlformats.org/officeDocument/2006/relationships/hyperlink" Id="rId121"/>
    <Relationship TargetMode="External" Target="https://www.legis.iowa.gov/docs/ico/chapter/437.pdf" Type="http://schemas.openxmlformats.org/officeDocument/2006/relationships/hyperlink" Id="rId122"/>
    <Relationship TargetMode="External" Target="https://www.legis.iowa.gov/docs/ico/chapter/438.pdf" Type="http://schemas.openxmlformats.org/officeDocument/2006/relationships/hyperlink" Id="rId123"/>
    <Relationship TargetMode="External" Target="https://www.legis.iowa.gov/docs/iac/rule/701.102.10.pdf" Type="http://schemas.openxmlformats.org/officeDocument/2006/relationships/hyperlink" Id="rId124"/>
    <Relationship TargetMode="External" Target="https://www.legis.iowa.gov/docs/ico/chapter/421.17.pdf" Type="http://schemas.openxmlformats.org/officeDocument/2006/relationships/hyperlink" Id="rId125"/>
    <Relationship TargetMode="External" Target="https://www.legis.iowa.gov/docs/ico/chapter/441.21.pdf" Type="http://schemas.openxmlformats.org/officeDocument/2006/relationships/hyperlink" Id="rId126"/>
    <Relationship TargetMode="External" Target="https://www.legis.iowa.gov/docs/ico/chapter/441.47.pdf" Type="http://schemas.openxmlformats.org/officeDocument/2006/relationships/hyperlink" Id="rId127"/>
    <Relationship TargetMode="External" Target="https://www.legis.iowa.gov/docs/ico/chapter/441.48.pdf" Type="http://schemas.openxmlformats.org/officeDocument/2006/relationships/hyperlink" Id="rId128"/>
    <Relationship TargetMode="External" Target="https://www.legis.iowa.gov/docs/ico/chapter/441.49.pdf" Type="http://schemas.openxmlformats.org/officeDocument/2006/relationships/hyperlink" Id="rId129"/>
    <Relationship TargetMode="External" Target="https://www.legis.iowa.gov/docs/iac/rule/701.102.11.pdf" Type="http://schemas.openxmlformats.org/officeDocument/2006/relationships/hyperlink" Id="rId130"/>
    <Relationship TargetMode="External" Target="https://www.legis.iowa.gov/docs/ico/chapter/441.48.pdf" Type="http://schemas.openxmlformats.org/officeDocument/2006/relationships/hyperlink" Id="rId131"/>
    <Relationship TargetMode="External" Target="https://www.legis.iowa.gov/docs/ico/chapter/441.47.pdf" Type="http://schemas.openxmlformats.org/officeDocument/2006/relationships/hyperlink" Id="rId132"/>
    <Relationship TargetMode="External" Target="https://www.legis.iowa.gov/docs/ico/chapter/441.48.pdf" Type="http://schemas.openxmlformats.org/officeDocument/2006/relationships/hyperlink" Id="rId133"/>
    <Relationship TargetMode="External" Target="https://www.legis.iowa.gov/docs/ico/chapter/441.48.pdf" Type="http://schemas.openxmlformats.org/officeDocument/2006/relationships/hyperlink" Id="rId134"/>
    <Relationship TargetMode="External" Target="https://www.legis.iowa.gov/docs/ico/chapter/441.48.pdf" Type="http://schemas.openxmlformats.org/officeDocument/2006/relationships/hyperlink" Id="rId135"/>
    <Relationship TargetMode="External" Target="https://www.legis.iowa.gov/docs/iac/rule/701.7.5.pdf" Type="http://schemas.openxmlformats.org/officeDocument/2006/relationships/hyperlink" Id="rId136"/>
    <Relationship TargetMode="External" Target="https://www.legis.iowa.gov/docs/iac/rule/7.2506.12.pdf" Type="http://schemas.openxmlformats.org/officeDocument/2006/relationships/hyperlink" Id="rId137"/>
    <Relationship TargetMode="External" Target="https://www.legis.iowa.gov/docs/iac/rule/7.2506.15.pdf" Type="http://schemas.openxmlformats.org/officeDocument/2006/relationships/hyperlink" Id="rId138"/>
    <Relationship TargetMode="External" Target="https://www.legis.iowa.gov/docs/iac/rule/701.7.6.pdf" Type="http://schemas.openxmlformats.org/officeDocument/2006/relationships/hyperlink" Id="rId139"/>
    <Relationship TargetMode="External" Target="https://www.legis.iowa.gov/docs/iac/rule/7.2506.4.pdf" Type="http://schemas.openxmlformats.org/officeDocument/2006/relationships/hyperlink" Id="rId140"/>
    <Relationship TargetMode="External" Target="https://www.legis.iowa.gov/docs/iac/rule/7.2506.6.pdf" Type="http://schemas.openxmlformats.org/officeDocument/2006/relationships/hyperlink" Id="rId141"/>
    <Relationship TargetMode="External" Target="https://www.legis.iowa.gov/docs/iac/rule/7.2506.9.pdf" Type="http://schemas.openxmlformats.org/officeDocument/2006/relationships/hyperlink" Id="rId142"/>
    <Relationship TargetMode="External" Target="https://www.legis.iowa.gov/docs/iac/rule/7.2506.10.pdf" Type="http://schemas.openxmlformats.org/officeDocument/2006/relationships/hyperlink" Id="rId143"/>
    <Relationship TargetMode="External" Target="https://www.legis.iowa.gov/docs/iac/rule/7.2506.12.pdf" Type="http://schemas.openxmlformats.org/officeDocument/2006/relationships/hyperlink" Id="rId144"/>
    <Relationship TargetMode="External" Target="https://www.legis.iowa.gov/docs/iac/rule/7.2506.16.pdf" Type="http://schemas.openxmlformats.org/officeDocument/2006/relationships/hyperlink" Id="rId145"/>
    <Relationship TargetMode="External" Target="https://www.legis.iowa.gov/docs/iac/rule/7.2506.19.pdf" Type="http://schemas.openxmlformats.org/officeDocument/2006/relationships/hyperlink" Id="rId146"/>
    <Relationship TargetMode="External" Target="https://www.legis.iowa.gov/docs/iac/rule/7.2506.29.pdf" Type="http://schemas.openxmlformats.org/officeDocument/2006/relationships/hyperlink" Id="rId147"/>
    <Relationship TargetMode="External" Target="https://www.legis.iowa.gov/docs/iac/rule/701.7.15.pdf" Type="http://schemas.openxmlformats.org/officeDocument/2006/relationships/hyperlink" Id="rId148"/>
    <Relationship TargetMode="External" Target="https://www.legis.iowa.gov/docs/iac/rule/701.2506.26.pdf" Type="http://schemas.openxmlformats.org/officeDocument/2006/relationships/hyperlink" Id="rId149"/>
    <Relationship TargetMode="External" Target="https://www.legis.iowa.gov/docs/ico/chapter/17A.pdf" Type="http://schemas.openxmlformats.org/officeDocument/2006/relationships/hyperlink" Id="rId150"/>
    <Relationship TargetMode="External" Target="https://www.legis.iowa.gov/docs/ico/chapter/441.48.pdf" Type="http://schemas.openxmlformats.org/officeDocument/2006/relationships/hyperlink" Id="rId151"/>
    <Relationship TargetMode="External" Target="https://www.legis.iowa.gov/docs/ico/chapter/441.49.pdf" Type="http://schemas.openxmlformats.org/officeDocument/2006/relationships/hyperlink" Id="rId152"/>
    <Relationship TargetMode="External" Target="https://www.legis.iowa.gov/docs/ico/chapter/441.21.pdf" Type="http://schemas.openxmlformats.org/officeDocument/2006/relationships/hyperlink" Id="rId153"/>
    <Relationship TargetMode="External" Target="https://www.legis.iowa.gov/docs/ico/chapter/441.49.pdf" Type="http://schemas.openxmlformats.org/officeDocument/2006/relationships/hyperlink" Id="rId154"/>
    <Relationship TargetMode="External" Target="https://www.legis.iowa.gov/docs/ico/chapter/441.49.pdf" Type="http://schemas.openxmlformats.org/officeDocument/2006/relationships/hyperlink" Id="rId155"/>
    <Relationship TargetMode="External" Target="https://www.legis.iowa.gov/docs/ico/chapter/441.21.pdf" Type="http://schemas.openxmlformats.org/officeDocument/2006/relationships/hyperlink" Id="rId156"/>
    <Relationship TargetMode="External" Target="https://www.legis.iowa.gov/docs/ico/chapter/441.49.pdf" Type="http://schemas.openxmlformats.org/officeDocument/2006/relationships/hyperlink" Id="rId157"/>
    <Relationship TargetMode="External" Target="https://www.legis.iowa.gov/docs/ico/chapter/421.17.pdf" Type="http://schemas.openxmlformats.org/officeDocument/2006/relationships/hyperlink" Id="rId158"/>
    <Relationship TargetMode="External" Target="https://www.legis.iowa.gov/docs/ico/chapter/441.49.pdf" Type="http://schemas.openxmlformats.org/officeDocument/2006/relationships/hyperlink" Id="rId159"/>
    <Relationship TargetMode="External" Target="https://www.legis.iowa.gov/docs/ico/chapter/441.1.pdf" Type="http://schemas.openxmlformats.org/officeDocument/2006/relationships/hyperlink" Id="rId160"/>
    <Relationship TargetMode="External" Target="https://www.legis.iowa.gov/docs/ico/chapter/441.5.pdf" Type="http://schemas.openxmlformats.org/officeDocument/2006/relationships/hyperlink" Id="rId161"/>
    <Relationship TargetMode="External" Target="https://www.legis.iowa.gov/docs/ico/chapter/441.10.pdf" Type="http://schemas.openxmlformats.org/officeDocument/2006/relationships/hyperlink" Id="rId162"/>
    <Relationship TargetMode="External" Target="https://www.legis.iowa.gov/docs/ico/chapter/441.2.pdf" Type="http://schemas.openxmlformats.org/officeDocument/2006/relationships/hyperlink" Id="rId163"/>
    <Relationship TargetMode="External" Target="https://www.legis.iowa.gov/docs/ico/chapter/441.2.pdf" Type="http://schemas.openxmlformats.org/officeDocument/2006/relationships/hyperlink" Id="rId164"/>
    <Relationship TargetMode="External" Target="https://www.legis.iowa.gov/docs/ico/chapter/372.14.pdf" Type="http://schemas.openxmlformats.org/officeDocument/2006/relationships/hyperlink" Id="rId165"/>
    <Relationship TargetMode="External" Target="https://www.legis.iowa.gov/docs/ico/chapter/441.2.pdf" Type="http://schemas.openxmlformats.org/officeDocument/2006/relationships/hyperlink" Id="rId166"/>
    <Relationship TargetMode="External" Target="https://www.legis.iowa.gov/docs/ico/chapter/441.33.pdf" Type="http://schemas.openxmlformats.org/officeDocument/2006/relationships/hyperlink" Id="rId167"/>
    <Relationship TargetMode="External" Target="https://www.legis.iowa.gov/docs/ico/chapter/421.17.pdf" Type="http://schemas.openxmlformats.org/officeDocument/2006/relationships/hyperlink" Id="rId168"/>
    <Relationship TargetMode="External" Target="https://www.legis.iowa.gov/docs/ico/chapter/428.4.pdf" Type="http://schemas.openxmlformats.org/officeDocument/2006/relationships/hyperlink" Id="rId169"/>
    <Relationship TargetMode="External" Target="https://www.legis.iowa.gov/docs/ico/chapter/441.35.pdf" Type="http://schemas.openxmlformats.org/officeDocument/2006/relationships/hyperlink" Id="rId170"/>
    <Relationship TargetMode="External" Target="https://www.legis.iowa.gov/docs/ico/chapter/441.36.pdf" Type="http://schemas.openxmlformats.org/officeDocument/2006/relationships/hyperlink" Id="rId171"/>
    <Relationship TargetMode="External" Target="https://www.legis.iowa.gov/docs/ico/chapter/441.37.pdf" Type="http://schemas.openxmlformats.org/officeDocument/2006/relationships/hyperlink" Id="rId172"/>
    <Relationship TargetMode="External" Target="https://www.legis.iowa.gov/docs/ico/chapter/441.37.pdf" Type="http://schemas.openxmlformats.org/officeDocument/2006/relationships/hyperlink" Id="rId173"/>
    <Relationship TargetMode="External" Target="https://www.legis.iowa.gov/docs/ico/chapter/441.37.pdf" Type="http://schemas.openxmlformats.org/officeDocument/2006/relationships/hyperlink" Id="rId174"/>
    <Relationship TargetMode="External" Target="https://www.legis.iowa.gov/docs/ico/chapter/441.37.pdf" Type="http://schemas.openxmlformats.org/officeDocument/2006/relationships/hyperlink" Id="rId175"/>
    <Relationship TargetMode="External" Target="https://www.legis.iowa.gov/docs/ico/chapter/441.9.pdf" Type="http://schemas.openxmlformats.org/officeDocument/2006/relationships/hyperlink" Id="rId176"/>
    <Relationship TargetMode="External" Target="https://www.legis.iowa.gov/docs/ico/chapter/441.37A.pdf" Type="http://schemas.openxmlformats.org/officeDocument/2006/relationships/hyperlink" Id="rId177"/>
    <Relationship TargetMode="External" Target="https://www.legis.iowa.gov/docs/iac/chapter/701.115.pdf" Type="http://schemas.openxmlformats.org/officeDocument/2006/relationships/hyperlink" Id="rId178"/>
    <Relationship TargetMode="External" Target="https://www.legis.iowa.gov/docs/ico/chapter/441.38.pdf" Type="http://schemas.openxmlformats.org/officeDocument/2006/relationships/hyperlink" Id="rId179"/>
    <Relationship TargetMode="External" Target="https://www.legis.iowa.gov/docs/ico/chapter/441.31.pdf" Type="http://schemas.openxmlformats.org/officeDocument/2006/relationships/hyperlink" Id="rId180"/>
    <Relationship TargetMode="External" Target="https://www.legis.iowa.gov/docs/ico/chapter/441.37.pdf" Type="http://schemas.openxmlformats.org/officeDocument/2006/relationships/hyperlink" Id="rId181"/>
    <Relationship TargetMode="External" Target="https://www.legis.iowa.gov/docs/ico/chapter/441.38.pdf" Type="http://schemas.openxmlformats.org/officeDocument/2006/relationships/hyperlink" Id="rId182"/>
    <Relationship TargetMode="External" Target="https://www.legis.iowa.gov/docs/ico/chapter/428.4.pdf" Type="http://schemas.openxmlformats.org/officeDocument/2006/relationships/hyperlink" Id="rId183"/>
    <Relationship TargetMode="External" Target="https://www.legis.iowa.gov/docs/ico/chapter/441.pdf" Type="http://schemas.openxmlformats.org/officeDocument/2006/relationships/hyperlink" Id="rId184"/>
    <Relationship TargetMode="External" Target="https://www.legis.iowa.gov/docs/ico/chapter/428.pdf" Type="http://schemas.openxmlformats.org/officeDocument/2006/relationships/hyperlink" Id="rId185"/>
    <Relationship TargetMode="External" Target="https://www.legis.iowa.gov/docs/ico/chapter/441.pdf" Type="http://schemas.openxmlformats.org/officeDocument/2006/relationships/hyperlink" Id="rId186"/>
    <Relationship TargetMode="External" Target="https://www.legis.iowa.gov/docs/ico/chapter/441.21.pdf" Type="http://schemas.openxmlformats.org/officeDocument/2006/relationships/hyperlink" Id="rId187"/>
    <Relationship TargetMode="External" Target="https://www.legis.iowa.gov/docs/ico/chapter/441.23.pdf" Type="http://schemas.openxmlformats.org/officeDocument/2006/relationships/hyperlink" Id="rId188"/>
    <Relationship TargetMode="External" Target="https://www.legis.iowa.gov/docs/ico/chapter/441.37.pdf" Type="http://schemas.openxmlformats.org/officeDocument/2006/relationships/hyperlink" Id="rId189"/>
    <Relationship TargetMode="External" Target="https://www.legis.iowa.gov/docs/ico/chapter/421.17.pdf" Type="http://schemas.openxmlformats.org/officeDocument/2006/relationships/hyperlink" Id="rId190"/>
    <Relationship TargetMode="External" Target="https://www.legis.iowa.gov/docs/ico/chapter/428.4.pdf" Type="http://schemas.openxmlformats.org/officeDocument/2006/relationships/hyperlink" Id="rId191"/>
    <Relationship TargetMode="External" Target="https://www.legis.iowa.gov/docs/ico/chapter/441.21.pdf" Type="http://schemas.openxmlformats.org/officeDocument/2006/relationships/hyperlink" Id="rId192"/>
    <Relationship TargetMode="External" Target="https://www.legis.iowa.gov/docs/ico/chapter/440.pdf" Type="http://schemas.openxmlformats.org/officeDocument/2006/relationships/hyperlink" Id="rId193"/>
    <Relationship TargetMode="External" Target="https://www.legis.iowa.gov/docs/ico/chapter/443.6.pdf" Type="http://schemas.openxmlformats.org/officeDocument/2006/relationships/hyperlink" Id="rId194"/>
    <Relationship TargetMode="External" Target="https://www.legis.iowa.gov/docs/ico/chapter/443.15.pdf" Type="http://schemas.openxmlformats.org/officeDocument/2006/relationships/hyperlink" Id="rId195"/>
    <Relationship TargetMode="External" Target="https://www.legis.iowa.gov/docs/ico/chapter/441.21.pdf" Type="http://schemas.openxmlformats.org/officeDocument/2006/relationships/hyperlink" Id="rId196"/>
    <Relationship TargetMode="External" Target="https://www.legis.iowa.gov/docs/iac/chapter/701.7.pdf" Type="http://schemas.openxmlformats.org/officeDocument/2006/relationships/hyperlink" Id="rId197"/>
    <Relationship TargetMode="External" Target="https://www.legis.iowa.gov/docs/ico/chapter/441.21.pdf" Type="http://schemas.openxmlformats.org/officeDocument/2006/relationships/hyperlink" Id="rId198"/>
    <Relationship TargetMode="External" Target="https://www.legis.iowa.gov/docs/iac/rule/701.102.23.pdf" Type="http://schemas.openxmlformats.org/officeDocument/2006/relationships/hyperlink" Id="rId199"/>
    <Relationship TargetMode="External" Target="https://www.legis.iowa.gov/docs/ico/chapter/421.17.pdf" Type="http://schemas.openxmlformats.org/officeDocument/2006/relationships/hyperlink" Id="rId200"/>
    <Relationship TargetMode="External" Target="https://www.legis.iowa.gov/docs/ico/chapter/441.17.pdf" Type="http://schemas.openxmlformats.org/officeDocument/2006/relationships/hyperlink" Id="rId201"/>
    <Relationship TargetMode="External" Target="https://www.legis.iowa.gov/docs/ico/chapter/441.41.pdf" Type="http://schemas.openxmlformats.org/officeDocument/2006/relationships/hyperlink" Id="rId202"/>
    <Relationship TargetMode="External" Target="https://www.legis.iowa.gov/docs/ico/chapter/441.41.pdf" Type="http://schemas.openxmlformats.org/officeDocument/2006/relationships/hyperlink" Id="rId203"/>
    <Relationship TargetMode="External" Target="https://www.legis.iowa.gov/docs/ico/chapter/441.21.pdf" Type="http://schemas.openxmlformats.org/officeDocument/2006/relationships/hyperlink" Id="rId204"/>
    <Relationship TargetMode="External" Target="https://www.legis.iowa.gov/docs/ico/chapter/441.21.pdf" Type="http://schemas.openxmlformats.org/officeDocument/2006/relationships/hyperlink" Id="rId205"/>
    <Relationship TargetMode="External" Target="https://www.legis.iowa.gov/docs/ico/chapter/434.pdf" Type="http://schemas.openxmlformats.org/officeDocument/2006/relationships/hyperlink" Id="rId206"/>
    <Relationship TargetMode="External" Target="https://www.legis.iowa.gov/docs/ico/chapter/441.21.pdf" Type="http://schemas.openxmlformats.org/officeDocument/2006/relationships/hyperlink" Id="rId207"/>
    <Relationship TargetMode="External" Target="https://www.legis.iowa.gov/docs/ico/chapter/441.21.pdf" Type="http://schemas.openxmlformats.org/officeDocument/2006/relationships/hyperlink" Id="rId208"/>
    <Relationship TargetMode="External" Target="https://www.legis.iowa.gov/docs/ico/chapter/434.pdf" Type="http://schemas.openxmlformats.org/officeDocument/2006/relationships/hyperlink" Id="rId209"/>
    <Relationship TargetMode="External" Target="https://www.legis.iowa.gov/docs/ico/chapter/441.21.pdf" Type="http://schemas.openxmlformats.org/officeDocument/2006/relationships/hyperlink" Id="rId210"/>
    <Relationship TargetMode="External" Target="https://www.legis.iowa.gov/docs/ico/chapter/434.pdf" Type="http://schemas.openxmlformats.org/officeDocument/2006/relationships/hyperlink" Id="rId211"/>
    <Relationship TargetMode="External" Target="https://www.legis.iowa.gov/docs/ico/chapter/441.21.pdf" Type="http://schemas.openxmlformats.org/officeDocument/2006/relationships/hyperlink" Id="rId212"/>
    <Relationship TargetMode="External" Target="https://www.legis.iowa.gov/docs/ico/chapter/434.pdf" Type="http://schemas.openxmlformats.org/officeDocument/2006/relationships/hyperlink" Id="rId213"/>
    <Relationship TargetMode="External" Target="https://www.legis.iowa.gov/docs/ico/chapter/441.21.pdf" Type="http://schemas.openxmlformats.org/officeDocument/2006/relationships/hyperlink" Id="rId214"/>
    <Relationship TargetMode="External" Target="https://www.legis.iowa.gov/docs/ico/chapter/434.pdf" Type="http://schemas.openxmlformats.org/officeDocument/2006/relationships/hyperlink" Id="rId215"/>
    <Relationship TargetMode="External" Target="https://www.legis.iowa.gov/docs/ico/chapter/441.21.pdf" Type="http://schemas.openxmlformats.org/officeDocument/2006/relationships/hyperlink" Id="rId216"/>
    <Relationship TargetMode="External" Target="https://www.legis.iowa.gov/docs/ico/chapter/434.pdf" Type="http://schemas.openxmlformats.org/officeDocument/2006/relationships/hyperlink" Id="rId217"/>
    <Relationship TargetMode="External" Target="https://www.legis.iowa.gov/docs/ico/chapter/441.21.pdf" Type="http://schemas.openxmlformats.org/officeDocument/2006/relationships/hyperlink" Id="rId218"/>
    <Relationship TargetMode="External" Target="https://www.legis.iowa.gov/docs/ico/chapter/434.pdf" Type="http://schemas.openxmlformats.org/officeDocument/2006/relationships/hyperlink" Id="rId219"/>
    <Relationship TargetMode="External" Target="https://www.legis.iowa.gov/docs/ico/chapter/441.21.pdf" Type="http://schemas.openxmlformats.org/officeDocument/2006/relationships/hyperlink" Id="rId220"/>
    <Relationship TargetMode="External" Target="https://www.legis.iowa.gov/docs/ico/chapter/434.pdf" Type="http://schemas.openxmlformats.org/officeDocument/2006/relationships/hyperlink" Id="rId221"/>
    <Relationship TargetMode="External" Target="https://www.legis.iowa.gov/docs/ico/chapter/441.21.pdf" Type="http://schemas.openxmlformats.org/officeDocument/2006/relationships/hyperlink" Id="rId222"/>
    <Relationship TargetMode="External" Target="https://www.legis.iowa.gov/docs/ico/chapter/441.21.pdf" Type="http://schemas.openxmlformats.org/officeDocument/2006/relationships/hyperlink" Id="rId223"/>
    <Relationship TargetMode="External" Target="https://www.legis.iowa.gov/docs/ico/chapter/441.21.pdf" Type="http://schemas.openxmlformats.org/officeDocument/2006/relationships/hyperlink" Id="rId224"/>
    <Relationship Target="footer.xml" Type="http://schemas.openxmlformats.org/officeDocument/2006/relationships/footer" Id="rId2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